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1D" w:rsidRPr="0068461A" w:rsidRDefault="0061251D" w:rsidP="0041628C">
      <w:pPr>
        <w:jc w:val="right"/>
        <w:rPr>
          <w:rFonts w:ascii="Times New Roman" w:hAnsi="Times New Roman"/>
          <w:b/>
          <w:bCs/>
          <w:sz w:val="24"/>
          <w:szCs w:val="24"/>
        </w:rPr>
      </w:pPr>
      <w:r w:rsidRPr="0068461A">
        <w:rPr>
          <w:rFonts w:ascii="Times New Roman" w:hAnsi="Times New Roman"/>
          <w:sz w:val="24"/>
          <w:szCs w:val="24"/>
        </w:rPr>
        <w:t>Program kształcenia na studiach wyższych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7256"/>
      </w:tblGrid>
      <w:tr w:rsidR="0061251D" w:rsidRPr="0068461A" w:rsidTr="00FF222C">
        <w:tc>
          <w:tcPr>
            <w:tcW w:w="2802" w:type="dxa"/>
          </w:tcPr>
          <w:p w:rsidR="0061251D" w:rsidRPr="0068461A" w:rsidRDefault="0061251D" w:rsidP="00F51D08">
            <w:pPr>
              <w:pStyle w:val="Default"/>
            </w:pPr>
            <w:r w:rsidRPr="0068461A">
              <w:t xml:space="preserve">Nazwa Wydziału </w:t>
            </w:r>
          </w:p>
          <w:p w:rsidR="0061251D" w:rsidRPr="0068461A" w:rsidRDefault="0061251D" w:rsidP="00FF222C">
            <w:pPr>
              <w:spacing w:after="0" w:line="240" w:lineRule="auto"/>
              <w:rPr>
                <w:rFonts w:ascii="Times New Roman" w:hAnsi="Times New Roman"/>
                <w:bCs/>
                <w:sz w:val="24"/>
                <w:szCs w:val="24"/>
              </w:rPr>
            </w:pPr>
          </w:p>
        </w:tc>
        <w:tc>
          <w:tcPr>
            <w:tcW w:w="6410" w:type="dxa"/>
          </w:tcPr>
          <w:p w:rsidR="0061251D" w:rsidRPr="0068461A" w:rsidRDefault="0061251D" w:rsidP="00FF222C">
            <w:pPr>
              <w:autoSpaceDE w:val="0"/>
              <w:autoSpaceDN w:val="0"/>
              <w:adjustRightInd w:val="0"/>
              <w:spacing w:after="0" w:line="240" w:lineRule="auto"/>
              <w:rPr>
                <w:rFonts w:ascii="Times New Roman" w:hAnsi="Times New Roman"/>
                <w:bCs/>
                <w:sz w:val="24"/>
                <w:szCs w:val="24"/>
              </w:rPr>
            </w:pPr>
            <w:r w:rsidRPr="0068461A">
              <w:rPr>
                <w:rFonts w:ascii="Times New Roman" w:hAnsi="Times New Roman"/>
                <w:bCs/>
                <w:sz w:val="24"/>
                <w:szCs w:val="24"/>
              </w:rPr>
              <w:t>Wydział Zarządzania i Komunikacji Społecznej</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Nazwa kierunku studiów</w:t>
            </w:r>
          </w:p>
        </w:tc>
        <w:tc>
          <w:tcPr>
            <w:tcW w:w="6410" w:type="dxa"/>
          </w:tcPr>
          <w:p w:rsidR="0061251D" w:rsidRPr="0068461A" w:rsidRDefault="00737ED5" w:rsidP="00FF222C">
            <w:pPr>
              <w:autoSpaceDE w:val="0"/>
              <w:autoSpaceDN w:val="0"/>
              <w:adjustRightInd w:val="0"/>
              <w:spacing w:after="0" w:line="240" w:lineRule="auto"/>
              <w:rPr>
                <w:rFonts w:ascii="Times New Roman" w:hAnsi="Times New Roman"/>
                <w:b/>
                <w:bCs/>
                <w:sz w:val="28"/>
                <w:szCs w:val="24"/>
              </w:rPr>
            </w:pPr>
            <w:r w:rsidRPr="0068461A">
              <w:rPr>
                <w:rFonts w:ascii="Times New Roman" w:hAnsi="Times New Roman"/>
                <w:b/>
                <w:bCs/>
                <w:sz w:val="28"/>
                <w:szCs w:val="24"/>
              </w:rPr>
              <w:t>Zarządzanie informacją</w:t>
            </w:r>
          </w:p>
          <w:p w:rsidR="0061251D" w:rsidRPr="0068461A" w:rsidRDefault="0061251D" w:rsidP="00FF222C">
            <w:pPr>
              <w:autoSpaceDE w:val="0"/>
              <w:autoSpaceDN w:val="0"/>
              <w:adjustRightInd w:val="0"/>
              <w:spacing w:after="0" w:line="240" w:lineRule="auto"/>
              <w:rPr>
                <w:rFonts w:ascii="Times New Roman" w:hAnsi="Times New Roman"/>
                <w:b/>
                <w:bCs/>
                <w:sz w:val="24"/>
                <w:szCs w:val="24"/>
              </w:rPr>
            </w:pPr>
          </w:p>
        </w:tc>
      </w:tr>
      <w:tr w:rsidR="0061251D" w:rsidRPr="0068461A" w:rsidTr="00FF222C">
        <w:tc>
          <w:tcPr>
            <w:tcW w:w="2802" w:type="dxa"/>
          </w:tcPr>
          <w:p w:rsidR="0061251D" w:rsidRPr="0068461A" w:rsidRDefault="0061251D" w:rsidP="00F51D08">
            <w:pPr>
              <w:pStyle w:val="Default"/>
            </w:pPr>
            <w:r w:rsidRPr="0068461A">
              <w:t xml:space="preserve">Określenie obszaru kształcenia/obszarów kształcenia, z których został wyodrębniony kierunek studiów, dla którego tworzony jest program kształcenia </w:t>
            </w:r>
          </w:p>
        </w:tc>
        <w:tc>
          <w:tcPr>
            <w:tcW w:w="6410" w:type="dxa"/>
          </w:tcPr>
          <w:p w:rsidR="0061251D" w:rsidRPr="0068461A" w:rsidRDefault="0061251D" w:rsidP="00F51D08">
            <w:pPr>
              <w:pStyle w:val="Default"/>
            </w:pPr>
            <w:r w:rsidRPr="0068461A">
              <w:rPr>
                <w:bCs/>
              </w:rPr>
              <w:t>Obszar kształcenia w zakresie nauk humanistycznych</w:t>
            </w:r>
          </w:p>
          <w:p w:rsidR="0061251D" w:rsidRPr="0068461A" w:rsidRDefault="0061251D" w:rsidP="00FF222C">
            <w:pPr>
              <w:spacing w:after="0" w:line="240" w:lineRule="auto"/>
              <w:rPr>
                <w:rFonts w:ascii="Times New Roman" w:hAnsi="Times New Roman"/>
                <w:bCs/>
                <w:sz w:val="24"/>
                <w:szCs w:val="24"/>
              </w:rPr>
            </w:pPr>
          </w:p>
        </w:tc>
      </w:tr>
      <w:tr w:rsidR="0061251D" w:rsidRPr="0068461A" w:rsidTr="00FF222C">
        <w:tc>
          <w:tcPr>
            <w:tcW w:w="2802" w:type="dxa"/>
          </w:tcPr>
          <w:p w:rsidR="0061251D" w:rsidRPr="0068461A" w:rsidRDefault="0061251D" w:rsidP="00F51D08">
            <w:pPr>
              <w:pStyle w:val="Default"/>
            </w:pPr>
            <w:r w:rsidRPr="0068461A">
              <w:t xml:space="preserve">Określenie dziedzin nauki lub sztuki oraz dyscyplin naukowych lub artystycznych, do których odnoszą się efekty kształcenia </w:t>
            </w:r>
          </w:p>
        </w:tc>
        <w:tc>
          <w:tcPr>
            <w:tcW w:w="6410" w:type="dxa"/>
          </w:tcPr>
          <w:p w:rsidR="0061251D" w:rsidRPr="0068461A" w:rsidRDefault="0061251D" w:rsidP="00291F27">
            <w:pPr>
              <w:pStyle w:val="Default"/>
              <w:rPr>
                <w:bCs/>
              </w:rPr>
            </w:pPr>
            <w:r w:rsidRPr="0068461A">
              <w:rPr>
                <w:bCs/>
              </w:rPr>
              <w:t>Dziedzina nauk humanistycznych</w:t>
            </w:r>
          </w:p>
          <w:p w:rsidR="0061251D" w:rsidRPr="0068461A" w:rsidRDefault="0061251D" w:rsidP="00291F27">
            <w:pPr>
              <w:pStyle w:val="Default"/>
              <w:rPr>
                <w:bCs/>
              </w:rPr>
            </w:pPr>
            <w:r w:rsidRPr="0068461A">
              <w:rPr>
                <w:bCs/>
              </w:rPr>
              <w:t xml:space="preserve">Dyscyplina: bibliologia i </w:t>
            </w:r>
            <w:proofErr w:type="spellStart"/>
            <w:r w:rsidRPr="0068461A">
              <w:rPr>
                <w:bCs/>
              </w:rPr>
              <w:t>informatologia</w:t>
            </w:r>
            <w:proofErr w:type="spellEnd"/>
          </w:p>
        </w:tc>
      </w:tr>
      <w:tr w:rsidR="0061251D" w:rsidRPr="0068461A" w:rsidTr="00FF222C">
        <w:tc>
          <w:tcPr>
            <w:tcW w:w="2802" w:type="dxa"/>
          </w:tcPr>
          <w:p w:rsidR="0061251D" w:rsidRPr="0068461A" w:rsidRDefault="0061251D" w:rsidP="00FF222C">
            <w:pPr>
              <w:autoSpaceDE w:val="0"/>
              <w:autoSpaceDN w:val="0"/>
              <w:adjustRightInd w:val="0"/>
              <w:spacing w:after="0" w:line="240" w:lineRule="auto"/>
              <w:rPr>
                <w:rFonts w:ascii="Times New Roman" w:hAnsi="Times New Roman"/>
                <w:bCs/>
                <w:sz w:val="24"/>
                <w:szCs w:val="24"/>
              </w:rPr>
            </w:pPr>
            <w:r w:rsidRPr="0068461A">
              <w:rPr>
                <w:rFonts w:ascii="Times New Roman" w:hAnsi="Times New Roman"/>
                <w:bCs/>
                <w:sz w:val="24"/>
                <w:szCs w:val="24"/>
              </w:rPr>
              <w:t xml:space="preserve">Poziom kształcenia </w:t>
            </w:r>
          </w:p>
          <w:p w:rsidR="0061251D" w:rsidRPr="0068461A" w:rsidRDefault="0061251D" w:rsidP="00FF222C">
            <w:pPr>
              <w:spacing w:after="0" w:line="240" w:lineRule="auto"/>
              <w:rPr>
                <w:rFonts w:ascii="Times New Roman" w:hAnsi="Times New Roman"/>
                <w:bCs/>
                <w:sz w:val="24"/>
                <w:szCs w:val="24"/>
              </w:rPr>
            </w:pPr>
          </w:p>
        </w:tc>
        <w:tc>
          <w:tcPr>
            <w:tcW w:w="6410"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studia pierwszego stopnia</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Profil kształcenia</w:t>
            </w:r>
          </w:p>
        </w:tc>
        <w:tc>
          <w:tcPr>
            <w:tcW w:w="6410" w:type="dxa"/>
          </w:tcPr>
          <w:p w:rsidR="0061251D" w:rsidRPr="0068461A" w:rsidRDefault="0061251D" w:rsidP="00737ED5">
            <w:pPr>
              <w:spacing w:after="0" w:line="240" w:lineRule="auto"/>
              <w:rPr>
                <w:rFonts w:ascii="Times New Roman" w:hAnsi="Times New Roman"/>
                <w:bCs/>
                <w:sz w:val="24"/>
                <w:szCs w:val="24"/>
              </w:rPr>
            </w:pPr>
            <w:r w:rsidRPr="0068461A">
              <w:rPr>
                <w:rFonts w:ascii="Times New Roman" w:hAnsi="Times New Roman"/>
                <w:bCs/>
                <w:sz w:val="24"/>
                <w:szCs w:val="24"/>
              </w:rPr>
              <w:t xml:space="preserve">profil </w:t>
            </w:r>
            <w:proofErr w:type="spellStart"/>
            <w:r w:rsidR="00737ED5" w:rsidRPr="0068461A">
              <w:rPr>
                <w:rFonts w:ascii="Times New Roman" w:hAnsi="Times New Roman"/>
                <w:bCs/>
                <w:sz w:val="24"/>
                <w:szCs w:val="24"/>
              </w:rPr>
              <w:t>ogólnoakademicki</w:t>
            </w:r>
            <w:proofErr w:type="spellEnd"/>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Forma studiów</w:t>
            </w:r>
          </w:p>
        </w:tc>
        <w:tc>
          <w:tcPr>
            <w:tcW w:w="6410" w:type="dxa"/>
          </w:tcPr>
          <w:p w:rsidR="0061251D" w:rsidRPr="0068461A" w:rsidRDefault="0061251D" w:rsidP="00FF222C">
            <w:pPr>
              <w:spacing w:after="0" w:line="240" w:lineRule="auto"/>
              <w:rPr>
                <w:rFonts w:ascii="Times New Roman" w:hAnsi="Times New Roman"/>
                <w:bCs/>
                <w:sz w:val="24"/>
                <w:szCs w:val="24"/>
                <w:highlight w:val="red"/>
              </w:rPr>
            </w:pPr>
            <w:r w:rsidRPr="0068461A">
              <w:rPr>
                <w:rFonts w:ascii="Times New Roman" w:hAnsi="Times New Roman"/>
                <w:bCs/>
                <w:sz w:val="24"/>
                <w:szCs w:val="24"/>
              </w:rPr>
              <w:t>studia stacjonarne</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Język</w:t>
            </w:r>
          </w:p>
        </w:tc>
        <w:tc>
          <w:tcPr>
            <w:tcW w:w="6410" w:type="dxa"/>
          </w:tcPr>
          <w:p w:rsidR="0061251D" w:rsidRPr="0068461A" w:rsidRDefault="0061251D" w:rsidP="003444B8">
            <w:pPr>
              <w:pStyle w:val="Default"/>
            </w:pPr>
            <w:r w:rsidRPr="0068461A">
              <w:rPr>
                <w:iCs/>
              </w:rPr>
              <w:t xml:space="preserve">Studia prowadzone w całości w języku polskim </w:t>
            </w:r>
          </w:p>
        </w:tc>
      </w:tr>
      <w:tr w:rsidR="0061251D" w:rsidRPr="0068461A" w:rsidTr="00FF222C">
        <w:tc>
          <w:tcPr>
            <w:tcW w:w="2802" w:type="dxa"/>
          </w:tcPr>
          <w:p w:rsidR="0061251D" w:rsidRPr="0068461A" w:rsidRDefault="0061251D" w:rsidP="00E26432">
            <w:pPr>
              <w:pStyle w:val="Default"/>
            </w:pPr>
            <w:r w:rsidRPr="0068461A">
              <w:t xml:space="preserve">Kierownik studiów na danym kierunku lub inna odpowiedzialna osoba </w:t>
            </w:r>
          </w:p>
        </w:tc>
        <w:tc>
          <w:tcPr>
            <w:tcW w:w="6410"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Zastępca dyrektora Instytutu Informacji Naukowej i Bibliotekoznawstwa</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Tytuł zawodowy uzyskiwany przez absolwenta</w:t>
            </w:r>
          </w:p>
        </w:tc>
        <w:tc>
          <w:tcPr>
            <w:tcW w:w="6410" w:type="dxa"/>
          </w:tcPr>
          <w:p w:rsidR="0061251D" w:rsidRPr="0068461A" w:rsidRDefault="0061251D" w:rsidP="00FF222C">
            <w:pPr>
              <w:spacing w:after="0" w:line="240" w:lineRule="auto"/>
              <w:rPr>
                <w:rFonts w:ascii="Times New Roman" w:hAnsi="Times New Roman"/>
                <w:bCs/>
                <w:sz w:val="24"/>
                <w:szCs w:val="24"/>
                <w:lang w:val="en-US"/>
              </w:rPr>
            </w:pPr>
            <w:proofErr w:type="spellStart"/>
            <w:r w:rsidRPr="0068461A">
              <w:rPr>
                <w:rFonts w:ascii="Times New Roman" w:hAnsi="Times New Roman"/>
                <w:bCs/>
                <w:sz w:val="24"/>
                <w:szCs w:val="24"/>
                <w:lang w:val="en-US"/>
              </w:rPr>
              <w:t>Licencjat</w:t>
            </w:r>
            <w:proofErr w:type="spellEnd"/>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Możliwości dalszego kształcenia</w:t>
            </w:r>
          </w:p>
        </w:tc>
        <w:tc>
          <w:tcPr>
            <w:tcW w:w="6410" w:type="dxa"/>
          </w:tcPr>
          <w:p w:rsidR="0061251D" w:rsidRPr="0068461A" w:rsidRDefault="0061251D" w:rsidP="00FF222C">
            <w:pPr>
              <w:pStyle w:val="Akapitzlist"/>
              <w:numPr>
                <w:ilvl w:val="0"/>
                <w:numId w:val="1"/>
              </w:numPr>
              <w:spacing w:after="0" w:line="240" w:lineRule="auto"/>
              <w:rPr>
                <w:rFonts w:ascii="Times New Roman" w:hAnsi="Times New Roman"/>
                <w:bCs/>
                <w:sz w:val="24"/>
                <w:szCs w:val="24"/>
              </w:rPr>
            </w:pPr>
            <w:r w:rsidRPr="0068461A">
              <w:rPr>
                <w:rFonts w:ascii="Times New Roman" w:hAnsi="Times New Roman"/>
                <w:bCs/>
                <w:sz w:val="24"/>
                <w:szCs w:val="24"/>
              </w:rPr>
              <w:t xml:space="preserve">Studia II stopnia (szczególnie zalecane studia II stopnia na kierunku </w:t>
            </w:r>
            <w:r w:rsidR="00737ED5" w:rsidRPr="0068461A">
              <w:rPr>
                <w:rFonts w:ascii="Times New Roman" w:hAnsi="Times New Roman"/>
                <w:bCs/>
                <w:sz w:val="24"/>
                <w:szCs w:val="24"/>
              </w:rPr>
              <w:t>zarządzanie informacją</w:t>
            </w:r>
            <w:r w:rsidRPr="0068461A">
              <w:rPr>
                <w:rFonts w:ascii="Times New Roman" w:hAnsi="Times New Roman"/>
                <w:bCs/>
                <w:sz w:val="24"/>
                <w:szCs w:val="24"/>
              </w:rPr>
              <w:t>)</w:t>
            </w:r>
          </w:p>
          <w:p w:rsidR="0061251D" w:rsidRPr="0068461A" w:rsidRDefault="0061251D" w:rsidP="00FF222C">
            <w:pPr>
              <w:pStyle w:val="Akapitzlist"/>
              <w:numPr>
                <w:ilvl w:val="0"/>
                <w:numId w:val="1"/>
              </w:numPr>
              <w:spacing w:after="0" w:line="240" w:lineRule="auto"/>
              <w:rPr>
                <w:rFonts w:ascii="Times New Roman" w:hAnsi="Times New Roman"/>
                <w:bCs/>
                <w:sz w:val="24"/>
                <w:szCs w:val="24"/>
              </w:rPr>
            </w:pPr>
            <w:r w:rsidRPr="0068461A">
              <w:rPr>
                <w:rFonts w:ascii="Times New Roman" w:hAnsi="Times New Roman"/>
                <w:bCs/>
                <w:sz w:val="24"/>
                <w:szCs w:val="24"/>
              </w:rPr>
              <w:t>Studia podyplomowe</w:t>
            </w:r>
          </w:p>
        </w:tc>
      </w:tr>
      <w:tr w:rsidR="0061251D" w:rsidRPr="0068461A" w:rsidTr="00FF222C">
        <w:tc>
          <w:tcPr>
            <w:tcW w:w="2802" w:type="dxa"/>
          </w:tcPr>
          <w:p w:rsidR="0061251D" w:rsidRPr="0068461A" w:rsidRDefault="0061251D" w:rsidP="00AA723E">
            <w:pPr>
              <w:autoSpaceDE w:val="0"/>
              <w:autoSpaceDN w:val="0"/>
              <w:adjustRightInd w:val="0"/>
              <w:spacing w:line="240" w:lineRule="auto"/>
              <w:rPr>
                <w:rFonts w:ascii="Times New Roman" w:hAnsi="Times New Roman"/>
                <w:bCs/>
                <w:sz w:val="24"/>
                <w:szCs w:val="24"/>
              </w:rPr>
            </w:pPr>
            <w:r w:rsidRPr="0068461A">
              <w:rPr>
                <w:rFonts w:ascii="Times New Roman" w:hAnsi="Times New Roman"/>
                <w:bCs/>
                <w:sz w:val="24"/>
                <w:szCs w:val="24"/>
              </w:rPr>
              <w:t>Ogólne cele kształcenia na kierunku studiów o</w:t>
            </w:r>
          </w:p>
          <w:p w:rsidR="0061251D" w:rsidRPr="0068461A" w:rsidRDefault="0061251D" w:rsidP="00AA723E">
            <w:pPr>
              <w:spacing w:line="240" w:lineRule="auto"/>
              <w:rPr>
                <w:rFonts w:ascii="Times New Roman" w:hAnsi="Times New Roman"/>
                <w:bCs/>
                <w:sz w:val="24"/>
                <w:szCs w:val="24"/>
              </w:rPr>
            </w:pPr>
            <w:r w:rsidRPr="0068461A">
              <w:rPr>
                <w:rFonts w:ascii="Times New Roman" w:hAnsi="Times New Roman"/>
                <w:bCs/>
                <w:sz w:val="24"/>
                <w:szCs w:val="24"/>
              </w:rPr>
              <w:t xml:space="preserve">określonym poziomie i profilu </w:t>
            </w:r>
            <w:r w:rsidRPr="0068461A">
              <w:rPr>
                <w:rFonts w:ascii="Times New Roman" w:hAnsi="Times New Roman"/>
                <w:bCs/>
                <w:sz w:val="24"/>
                <w:szCs w:val="24"/>
              </w:rPr>
              <w:lastRenderedPageBreak/>
              <w:t>kształcenia</w:t>
            </w:r>
          </w:p>
        </w:tc>
        <w:tc>
          <w:tcPr>
            <w:tcW w:w="6410" w:type="dxa"/>
          </w:tcPr>
          <w:p w:rsidR="00642900" w:rsidRPr="0068461A" w:rsidRDefault="0061251D" w:rsidP="00AA723E">
            <w:pPr>
              <w:autoSpaceDE w:val="0"/>
              <w:autoSpaceDN w:val="0"/>
              <w:adjustRightInd w:val="0"/>
              <w:spacing w:line="240" w:lineRule="auto"/>
              <w:jc w:val="both"/>
              <w:rPr>
                <w:rFonts w:ascii="Times New Roman" w:hAnsi="Times New Roman"/>
                <w:sz w:val="24"/>
                <w:szCs w:val="24"/>
              </w:rPr>
            </w:pPr>
            <w:r w:rsidRPr="0068461A">
              <w:rPr>
                <w:rFonts w:ascii="Times New Roman" w:hAnsi="Times New Roman"/>
                <w:bCs/>
                <w:sz w:val="24"/>
                <w:szCs w:val="24"/>
              </w:rPr>
              <w:lastRenderedPageBreak/>
              <w:t>Studia na kierunku „</w:t>
            </w:r>
            <w:r w:rsidR="00B071E3" w:rsidRPr="0068461A">
              <w:rPr>
                <w:rFonts w:ascii="Times New Roman" w:hAnsi="Times New Roman"/>
                <w:bCs/>
                <w:sz w:val="24"/>
                <w:szCs w:val="24"/>
              </w:rPr>
              <w:t>Z</w:t>
            </w:r>
            <w:r w:rsidR="00217CC6" w:rsidRPr="0068461A">
              <w:rPr>
                <w:rFonts w:ascii="Times New Roman" w:hAnsi="Times New Roman"/>
                <w:bCs/>
                <w:sz w:val="24"/>
                <w:szCs w:val="24"/>
              </w:rPr>
              <w:t>arządzanie informacją</w:t>
            </w:r>
            <w:r w:rsidRPr="0068461A">
              <w:rPr>
                <w:rFonts w:ascii="Times New Roman" w:hAnsi="Times New Roman"/>
                <w:bCs/>
                <w:sz w:val="24"/>
                <w:szCs w:val="24"/>
              </w:rPr>
              <w:t>” mają przygotować studenta do</w:t>
            </w:r>
            <w:r w:rsidRPr="0068461A">
              <w:rPr>
                <w:rFonts w:ascii="Times New Roman" w:hAnsi="Times New Roman"/>
                <w:sz w:val="24"/>
                <w:szCs w:val="24"/>
              </w:rPr>
              <w:t xml:space="preserve"> </w:t>
            </w:r>
            <w:r w:rsidR="00217CC6" w:rsidRPr="0068461A">
              <w:rPr>
                <w:rFonts w:ascii="Times New Roman" w:hAnsi="Times New Roman"/>
                <w:sz w:val="24"/>
                <w:szCs w:val="24"/>
              </w:rPr>
              <w:t xml:space="preserve">podejmowania naukowych działań poznawczych </w:t>
            </w:r>
            <w:r w:rsidR="00366B3A" w:rsidRPr="0068461A">
              <w:rPr>
                <w:rFonts w:ascii="Times New Roman" w:hAnsi="Times New Roman"/>
                <w:sz w:val="24"/>
                <w:szCs w:val="24"/>
              </w:rPr>
              <w:t>w odniesieniu do szerokiej grupy zjawisk i procesów</w:t>
            </w:r>
            <w:r w:rsidR="00B071E3" w:rsidRPr="0068461A">
              <w:rPr>
                <w:rFonts w:ascii="Times New Roman" w:hAnsi="Times New Roman"/>
                <w:sz w:val="24"/>
                <w:szCs w:val="24"/>
              </w:rPr>
              <w:t>,</w:t>
            </w:r>
            <w:r w:rsidR="00366B3A" w:rsidRPr="0068461A">
              <w:rPr>
                <w:rFonts w:ascii="Times New Roman" w:hAnsi="Times New Roman"/>
                <w:sz w:val="24"/>
                <w:szCs w:val="24"/>
              </w:rPr>
              <w:t xml:space="preserve"> </w:t>
            </w:r>
            <w:r w:rsidR="00217CC6" w:rsidRPr="0068461A">
              <w:rPr>
                <w:rFonts w:ascii="Times New Roman" w:hAnsi="Times New Roman"/>
                <w:sz w:val="24"/>
                <w:szCs w:val="24"/>
              </w:rPr>
              <w:t xml:space="preserve">od </w:t>
            </w:r>
            <w:r w:rsidR="00366B3A" w:rsidRPr="0068461A">
              <w:rPr>
                <w:rFonts w:ascii="Times New Roman" w:hAnsi="Times New Roman"/>
                <w:sz w:val="24"/>
                <w:szCs w:val="24"/>
              </w:rPr>
              <w:t xml:space="preserve">tych </w:t>
            </w:r>
            <w:r w:rsidR="00217CC6" w:rsidRPr="0068461A">
              <w:rPr>
                <w:rFonts w:ascii="Times New Roman" w:hAnsi="Times New Roman"/>
                <w:sz w:val="24"/>
                <w:szCs w:val="24"/>
              </w:rPr>
              <w:t xml:space="preserve">warunkujących poszukiwanie informacji, poprzez jej pozyskiwanie, gromadzenie, opracowanie i przetwarzanie, do udostępniania i wykorzystania przez człowieka, a także do realizacji zadań </w:t>
            </w:r>
            <w:r w:rsidRPr="0068461A">
              <w:rPr>
                <w:rFonts w:ascii="Times New Roman" w:hAnsi="Times New Roman"/>
                <w:sz w:val="24"/>
                <w:szCs w:val="24"/>
              </w:rPr>
              <w:t xml:space="preserve">profesjonalnych </w:t>
            </w:r>
            <w:r w:rsidR="00190F5C" w:rsidRPr="0068461A">
              <w:rPr>
                <w:rFonts w:ascii="Times New Roman" w:hAnsi="Times New Roman"/>
                <w:sz w:val="24"/>
                <w:szCs w:val="24"/>
              </w:rPr>
              <w:t xml:space="preserve">związanych z zarządzaniem informacją </w:t>
            </w:r>
            <w:r w:rsidRPr="0068461A">
              <w:rPr>
                <w:rFonts w:ascii="Times New Roman" w:hAnsi="Times New Roman"/>
                <w:sz w:val="24"/>
                <w:szCs w:val="24"/>
              </w:rPr>
              <w:t xml:space="preserve">w różnych </w:t>
            </w:r>
            <w:r w:rsidRPr="0068461A">
              <w:rPr>
                <w:rFonts w:ascii="Times New Roman" w:hAnsi="Times New Roman"/>
                <w:sz w:val="24"/>
                <w:szCs w:val="24"/>
              </w:rPr>
              <w:lastRenderedPageBreak/>
              <w:t xml:space="preserve">instytucjach i organizacjach działających w sferze komunikacji publicznej, kultury, edukacji, biznesu, nauki i administracji, zajmujących się gromadzeniem, opracowaniem i udostępnianiem informacji i dokumentów oraz dorobku kulturowego człowieka. Celem jest wykształcenie </w:t>
            </w:r>
            <w:r w:rsidR="00B071E3" w:rsidRPr="0068461A">
              <w:rPr>
                <w:rFonts w:ascii="Times New Roman" w:hAnsi="Times New Roman"/>
                <w:sz w:val="24"/>
                <w:szCs w:val="24"/>
              </w:rPr>
              <w:t xml:space="preserve">absolwenta, który dąży do naukowego </w:t>
            </w:r>
            <w:r w:rsidR="00CE7F84" w:rsidRPr="0068461A">
              <w:rPr>
                <w:rFonts w:ascii="Times New Roman" w:hAnsi="Times New Roman"/>
                <w:sz w:val="24"/>
                <w:szCs w:val="24"/>
              </w:rPr>
              <w:t>poznania</w:t>
            </w:r>
            <w:r w:rsidR="00B071E3" w:rsidRPr="0068461A">
              <w:rPr>
                <w:rFonts w:ascii="Times New Roman" w:hAnsi="Times New Roman"/>
                <w:sz w:val="24"/>
                <w:szCs w:val="24"/>
              </w:rPr>
              <w:t xml:space="preserve"> problematyki zarządzania informacją i </w:t>
            </w:r>
            <w:r w:rsidR="00CE7F84" w:rsidRPr="0068461A">
              <w:rPr>
                <w:rFonts w:ascii="Times New Roman" w:hAnsi="Times New Roman"/>
                <w:sz w:val="24"/>
                <w:szCs w:val="24"/>
              </w:rPr>
              <w:t>rozwiązywania</w:t>
            </w:r>
            <w:r w:rsidR="00B071E3" w:rsidRPr="0068461A">
              <w:rPr>
                <w:rFonts w:ascii="Times New Roman" w:hAnsi="Times New Roman"/>
                <w:sz w:val="24"/>
                <w:szCs w:val="24"/>
              </w:rPr>
              <w:t xml:space="preserve"> problem</w:t>
            </w:r>
            <w:r w:rsidR="00190F5C" w:rsidRPr="0068461A">
              <w:rPr>
                <w:rFonts w:ascii="Times New Roman" w:hAnsi="Times New Roman"/>
                <w:sz w:val="24"/>
                <w:szCs w:val="24"/>
              </w:rPr>
              <w:t xml:space="preserve">ów profesjonalnych </w:t>
            </w:r>
            <w:r w:rsidR="00B071E3" w:rsidRPr="0068461A">
              <w:rPr>
                <w:rFonts w:ascii="Times New Roman" w:hAnsi="Times New Roman"/>
                <w:sz w:val="24"/>
                <w:szCs w:val="24"/>
              </w:rPr>
              <w:t xml:space="preserve">z wykorzystaniem </w:t>
            </w:r>
            <w:r w:rsidR="00F14E79" w:rsidRPr="0068461A">
              <w:rPr>
                <w:rFonts w:ascii="Times New Roman" w:hAnsi="Times New Roman"/>
                <w:sz w:val="24"/>
                <w:szCs w:val="24"/>
              </w:rPr>
              <w:t xml:space="preserve">metod naukowych i </w:t>
            </w:r>
            <w:r w:rsidR="00B071E3" w:rsidRPr="0068461A">
              <w:rPr>
                <w:rFonts w:ascii="Times New Roman" w:hAnsi="Times New Roman"/>
                <w:sz w:val="24"/>
                <w:szCs w:val="24"/>
              </w:rPr>
              <w:t>dorobku nauki</w:t>
            </w:r>
            <w:r w:rsidR="00F14E79" w:rsidRPr="0068461A">
              <w:rPr>
                <w:rFonts w:ascii="Times New Roman" w:hAnsi="Times New Roman"/>
                <w:sz w:val="24"/>
                <w:szCs w:val="24"/>
              </w:rPr>
              <w:t xml:space="preserve"> wypracowanego na gruncie </w:t>
            </w:r>
            <w:r w:rsidR="00CE7F84" w:rsidRPr="0068461A">
              <w:rPr>
                <w:rFonts w:ascii="Times New Roman" w:hAnsi="Times New Roman"/>
                <w:sz w:val="24"/>
                <w:szCs w:val="24"/>
              </w:rPr>
              <w:t>bibliologii</w:t>
            </w:r>
            <w:r w:rsidR="00F14E79" w:rsidRPr="0068461A">
              <w:rPr>
                <w:rFonts w:ascii="Times New Roman" w:hAnsi="Times New Roman"/>
                <w:sz w:val="24"/>
                <w:szCs w:val="24"/>
              </w:rPr>
              <w:t xml:space="preserve"> i informatologii</w:t>
            </w:r>
            <w:r w:rsidR="00FF5537" w:rsidRPr="0068461A">
              <w:rPr>
                <w:rFonts w:ascii="Times New Roman" w:hAnsi="Times New Roman"/>
                <w:sz w:val="24"/>
                <w:szCs w:val="24"/>
              </w:rPr>
              <w:t xml:space="preserve"> i uz</w:t>
            </w:r>
            <w:r w:rsidR="00F14E79" w:rsidRPr="0068461A">
              <w:rPr>
                <w:rFonts w:ascii="Times New Roman" w:hAnsi="Times New Roman"/>
                <w:sz w:val="24"/>
                <w:szCs w:val="24"/>
              </w:rPr>
              <w:t>upełnianego dorobkiem dyscyplin pokrewnych</w:t>
            </w:r>
            <w:r w:rsidR="00B071E3" w:rsidRPr="0068461A">
              <w:rPr>
                <w:rFonts w:ascii="Times New Roman" w:hAnsi="Times New Roman"/>
                <w:sz w:val="24"/>
                <w:szCs w:val="24"/>
              </w:rPr>
              <w:t xml:space="preserve">. Z jednej strony absolwent studiów I stopnia na kierunku „Zarządzanie informacją” powinien być przygotowany do dalszego rozwijania swoich umiejętności badawczych na studiach wyższego </w:t>
            </w:r>
            <w:r w:rsidR="00CE7F84" w:rsidRPr="0068461A">
              <w:rPr>
                <w:rFonts w:ascii="Times New Roman" w:hAnsi="Times New Roman"/>
                <w:sz w:val="24"/>
                <w:szCs w:val="24"/>
              </w:rPr>
              <w:t xml:space="preserve">poziomu, </w:t>
            </w:r>
            <w:r w:rsidR="00B071E3" w:rsidRPr="0068461A">
              <w:rPr>
                <w:rFonts w:ascii="Times New Roman" w:hAnsi="Times New Roman"/>
                <w:sz w:val="24"/>
                <w:szCs w:val="24"/>
              </w:rPr>
              <w:t xml:space="preserve">a </w:t>
            </w:r>
            <w:r w:rsidR="00CE7F84" w:rsidRPr="0068461A">
              <w:rPr>
                <w:rFonts w:ascii="Times New Roman" w:hAnsi="Times New Roman"/>
                <w:sz w:val="24"/>
                <w:szCs w:val="24"/>
              </w:rPr>
              <w:t>z drugiej</w:t>
            </w:r>
            <w:r w:rsidR="00B071E3" w:rsidRPr="0068461A">
              <w:rPr>
                <w:rFonts w:ascii="Times New Roman" w:hAnsi="Times New Roman"/>
                <w:sz w:val="24"/>
                <w:szCs w:val="24"/>
              </w:rPr>
              <w:t xml:space="preserve"> </w:t>
            </w:r>
            <w:r w:rsidR="00CE7F84" w:rsidRPr="0068461A">
              <w:rPr>
                <w:rFonts w:ascii="Times New Roman" w:hAnsi="Times New Roman"/>
                <w:sz w:val="24"/>
                <w:szCs w:val="24"/>
              </w:rPr>
              <w:t>powinien</w:t>
            </w:r>
            <w:r w:rsidR="00B071E3" w:rsidRPr="0068461A">
              <w:rPr>
                <w:rFonts w:ascii="Times New Roman" w:hAnsi="Times New Roman"/>
                <w:sz w:val="24"/>
                <w:szCs w:val="24"/>
              </w:rPr>
              <w:t xml:space="preserve"> być profesjonalistą, </w:t>
            </w:r>
            <w:r w:rsidRPr="0068461A">
              <w:rPr>
                <w:rFonts w:ascii="Times New Roman" w:hAnsi="Times New Roman"/>
                <w:sz w:val="24"/>
                <w:szCs w:val="24"/>
              </w:rPr>
              <w:t>który nie tylko potrafi sprawnie realizować zadania zawodowe</w:t>
            </w:r>
            <w:r w:rsidR="00642900" w:rsidRPr="0068461A">
              <w:rPr>
                <w:rFonts w:ascii="Times New Roman" w:hAnsi="Times New Roman"/>
                <w:sz w:val="24"/>
                <w:szCs w:val="24"/>
              </w:rPr>
              <w:t xml:space="preserve"> i </w:t>
            </w:r>
            <w:r w:rsidR="0068461A" w:rsidRPr="0068461A">
              <w:rPr>
                <w:rFonts w:ascii="Times New Roman" w:hAnsi="Times New Roman"/>
                <w:sz w:val="24"/>
                <w:szCs w:val="24"/>
              </w:rPr>
              <w:t>rozwiązywać</w:t>
            </w:r>
            <w:r w:rsidR="00642900" w:rsidRPr="0068461A">
              <w:rPr>
                <w:rFonts w:ascii="Times New Roman" w:hAnsi="Times New Roman"/>
                <w:sz w:val="24"/>
                <w:szCs w:val="24"/>
              </w:rPr>
              <w:t xml:space="preserve"> problemy </w:t>
            </w:r>
            <w:r w:rsidR="0068461A" w:rsidRPr="0068461A">
              <w:rPr>
                <w:rFonts w:ascii="Times New Roman" w:hAnsi="Times New Roman"/>
                <w:sz w:val="24"/>
                <w:szCs w:val="24"/>
              </w:rPr>
              <w:t>profesjonalne</w:t>
            </w:r>
            <w:r w:rsidRPr="0068461A">
              <w:rPr>
                <w:rFonts w:ascii="Times New Roman" w:hAnsi="Times New Roman"/>
                <w:sz w:val="24"/>
                <w:szCs w:val="24"/>
              </w:rPr>
              <w:t xml:space="preserve">, ale również rozumie sens i najważniejsze uwarunkowania wykonywanej pracy oraz dostrzega jej historyczny, </w:t>
            </w:r>
            <w:r w:rsidR="00642900" w:rsidRPr="0068461A">
              <w:rPr>
                <w:rFonts w:ascii="Times New Roman" w:hAnsi="Times New Roman"/>
                <w:sz w:val="24"/>
                <w:szCs w:val="24"/>
              </w:rPr>
              <w:t xml:space="preserve">społeczny i kulturowy kontekst. </w:t>
            </w:r>
          </w:p>
          <w:p w:rsidR="0061251D" w:rsidRPr="0068461A" w:rsidRDefault="0061251D" w:rsidP="00AA723E">
            <w:pPr>
              <w:autoSpaceDE w:val="0"/>
              <w:autoSpaceDN w:val="0"/>
              <w:adjustRightInd w:val="0"/>
              <w:spacing w:line="240" w:lineRule="auto"/>
              <w:jc w:val="both"/>
              <w:rPr>
                <w:rFonts w:ascii="Times New Roman" w:hAnsi="Times New Roman"/>
                <w:sz w:val="24"/>
                <w:szCs w:val="24"/>
              </w:rPr>
            </w:pPr>
            <w:r w:rsidRPr="0068461A">
              <w:rPr>
                <w:rFonts w:ascii="Times New Roman" w:hAnsi="Times New Roman"/>
                <w:sz w:val="24"/>
                <w:szCs w:val="24"/>
              </w:rPr>
              <w:t xml:space="preserve">Studia mają dostarczyć także niezbędnej wiedzy, umiejętności i kompetencji społecznych umożliwiających absolwentowi efektywne funkcjonowanie w środowisku </w:t>
            </w:r>
            <w:r w:rsidR="00FF5537" w:rsidRPr="0068461A">
              <w:rPr>
                <w:rFonts w:ascii="Times New Roman" w:hAnsi="Times New Roman"/>
                <w:sz w:val="24"/>
                <w:szCs w:val="24"/>
              </w:rPr>
              <w:t xml:space="preserve">akademickim i </w:t>
            </w:r>
            <w:r w:rsidRPr="0068461A">
              <w:rPr>
                <w:rFonts w:ascii="Times New Roman" w:hAnsi="Times New Roman"/>
                <w:sz w:val="24"/>
                <w:szCs w:val="24"/>
              </w:rPr>
              <w:t xml:space="preserve">profesjonalnym, w tym skuteczne komunikowanie się w mowie i piśmie, </w:t>
            </w:r>
            <w:r w:rsidR="00FF5537" w:rsidRPr="0068461A">
              <w:rPr>
                <w:rFonts w:ascii="Times New Roman" w:hAnsi="Times New Roman"/>
                <w:sz w:val="24"/>
                <w:szCs w:val="24"/>
              </w:rPr>
              <w:t xml:space="preserve">sprawne </w:t>
            </w:r>
            <w:r w:rsidRPr="0068461A">
              <w:rPr>
                <w:rFonts w:ascii="Times New Roman" w:hAnsi="Times New Roman"/>
                <w:sz w:val="24"/>
                <w:szCs w:val="24"/>
              </w:rPr>
              <w:t xml:space="preserve">śledzenie </w:t>
            </w:r>
            <w:r w:rsidR="00FF5537" w:rsidRPr="0068461A">
              <w:rPr>
                <w:rFonts w:ascii="Times New Roman" w:hAnsi="Times New Roman"/>
                <w:sz w:val="24"/>
                <w:szCs w:val="24"/>
              </w:rPr>
              <w:t xml:space="preserve">rozwoju </w:t>
            </w:r>
            <w:r w:rsidRPr="0068461A">
              <w:rPr>
                <w:rFonts w:ascii="Times New Roman" w:hAnsi="Times New Roman"/>
                <w:sz w:val="24"/>
                <w:szCs w:val="24"/>
              </w:rPr>
              <w:t>dorob</w:t>
            </w:r>
            <w:r w:rsidR="00FF5537" w:rsidRPr="0068461A">
              <w:rPr>
                <w:rFonts w:ascii="Times New Roman" w:hAnsi="Times New Roman"/>
                <w:sz w:val="24"/>
                <w:szCs w:val="24"/>
              </w:rPr>
              <w:t xml:space="preserve">ku bibliologii i informatologii, </w:t>
            </w:r>
            <w:r w:rsidR="00CE7F84" w:rsidRPr="0068461A">
              <w:rPr>
                <w:rFonts w:ascii="Times New Roman" w:hAnsi="Times New Roman"/>
                <w:sz w:val="24"/>
                <w:szCs w:val="24"/>
              </w:rPr>
              <w:t>zrozumienie</w:t>
            </w:r>
            <w:r w:rsidR="00FF5537" w:rsidRPr="0068461A">
              <w:rPr>
                <w:rFonts w:ascii="Times New Roman" w:hAnsi="Times New Roman"/>
                <w:sz w:val="24"/>
                <w:szCs w:val="24"/>
              </w:rPr>
              <w:t xml:space="preserve"> roli nauk </w:t>
            </w:r>
            <w:r w:rsidR="00CE7F84" w:rsidRPr="0068461A">
              <w:rPr>
                <w:rFonts w:ascii="Times New Roman" w:hAnsi="Times New Roman"/>
                <w:sz w:val="24"/>
                <w:szCs w:val="24"/>
              </w:rPr>
              <w:t>humanistycznych</w:t>
            </w:r>
            <w:r w:rsidR="00FF5537" w:rsidRPr="0068461A">
              <w:rPr>
                <w:rFonts w:ascii="Times New Roman" w:hAnsi="Times New Roman"/>
                <w:sz w:val="24"/>
                <w:szCs w:val="24"/>
              </w:rPr>
              <w:t xml:space="preserve"> w badaniach </w:t>
            </w:r>
            <w:r w:rsidR="00CE7F84" w:rsidRPr="0068461A">
              <w:rPr>
                <w:rFonts w:ascii="Times New Roman" w:hAnsi="Times New Roman"/>
                <w:sz w:val="24"/>
                <w:szCs w:val="24"/>
              </w:rPr>
              <w:t>podstawowych</w:t>
            </w:r>
            <w:r w:rsidR="00FF5537" w:rsidRPr="0068461A">
              <w:rPr>
                <w:rFonts w:ascii="Times New Roman" w:hAnsi="Times New Roman"/>
                <w:sz w:val="24"/>
                <w:szCs w:val="24"/>
              </w:rPr>
              <w:t xml:space="preserve"> i stosowanych zjawisk z zakresu zarządzania informacją i dostrzeganie ich </w:t>
            </w:r>
            <w:r w:rsidR="00CE7F84" w:rsidRPr="0068461A">
              <w:rPr>
                <w:rFonts w:ascii="Times New Roman" w:hAnsi="Times New Roman"/>
                <w:sz w:val="24"/>
                <w:szCs w:val="24"/>
              </w:rPr>
              <w:t>różnych</w:t>
            </w:r>
            <w:r w:rsidR="00FF5537" w:rsidRPr="0068461A">
              <w:rPr>
                <w:rFonts w:ascii="Times New Roman" w:hAnsi="Times New Roman"/>
                <w:sz w:val="24"/>
                <w:szCs w:val="24"/>
              </w:rPr>
              <w:t xml:space="preserve"> </w:t>
            </w:r>
            <w:r w:rsidR="00CE7F84" w:rsidRPr="0068461A">
              <w:rPr>
                <w:rFonts w:ascii="Times New Roman" w:hAnsi="Times New Roman"/>
                <w:sz w:val="24"/>
                <w:szCs w:val="24"/>
              </w:rPr>
              <w:t>kontekstów</w:t>
            </w:r>
            <w:r w:rsidR="00FF5537" w:rsidRPr="0068461A">
              <w:rPr>
                <w:rFonts w:ascii="Times New Roman" w:hAnsi="Times New Roman"/>
                <w:sz w:val="24"/>
                <w:szCs w:val="24"/>
              </w:rPr>
              <w:t xml:space="preserve"> </w:t>
            </w:r>
            <w:r w:rsidR="00CE7F84" w:rsidRPr="0068461A">
              <w:rPr>
                <w:rFonts w:ascii="Times New Roman" w:hAnsi="Times New Roman"/>
                <w:sz w:val="24"/>
                <w:szCs w:val="24"/>
              </w:rPr>
              <w:t xml:space="preserve">kulturowych. </w:t>
            </w:r>
            <w:r w:rsidR="00FF5537" w:rsidRPr="0068461A">
              <w:rPr>
                <w:rFonts w:ascii="Times New Roman" w:hAnsi="Times New Roman"/>
                <w:sz w:val="24"/>
                <w:szCs w:val="24"/>
              </w:rPr>
              <w:t xml:space="preserve">Mają także pozwolić na świadome czerpanie z dorobku szeroko rozumianej kultury z poszanowaniem zasad prawnych </w:t>
            </w:r>
            <w:r w:rsidR="00CE7F84" w:rsidRPr="0068461A">
              <w:rPr>
                <w:rFonts w:ascii="Times New Roman" w:hAnsi="Times New Roman"/>
                <w:sz w:val="24"/>
                <w:szCs w:val="24"/>
              </w:rPr>
              <w:t xml:space="preserve">i dbanie o jego zachowanie oraz </w:t>
            </w:r>
            <w:r w:rsidR="00FF5537" w:rsidRPr="0068461A">
              <w:rPr>
                <w:rFonts w:ascii="Times New Roman" w:hAnsi="Times New Roman"/>
                <w:sz w:val="24"/>
                <w:szCs w:val="24"/>
              </w:rPr>
              <w:t xml:space="preserve">na </w:t>
            </w:r>
            <w:r w:rsidR="00CE7F84" w:rsidRPr="0068461A">
              <w:rPr>
                <w:rFonts w:ascii="Times New Roman" w:hAnsi="Times New Roman"/>
                <w:sz w:val="24"/>
                <w:szCs w:val="24"/>
              </w:rPr>
              <w:t>intensyfikację</w:t>
            </w:r>
            <w:r w:rsidR="00FF5537" w:rsidRPr="0068461A">
              <w:rPr>
                <w:rFonts w:ascii="Times New Roman" w:hAnsi="Times New Roman"/>
                <w:sz w:val="24"/>
                <w:szCs w:val="24"/>
              </w:rPr>
              <w:t xml:space="preserve"> </w:t>
            </w:r>
            <w:r w:rsidR="00CE7F84" w:rsidRPr="0068461A">
              <w:rPr>
                <w:rFonts w:ascii="Times New Roman" w:hAnsi="Times New Roman"/>
                <w:sz w:val="24"/>
                <w:szCs w:val="24"/>
              </w:rPr>
              <w:t>uczestnictwa</w:t>
            </w:r>
            <w:r w:rsidR="00FF5537" w:rsidRPr="0068461A">
              <w:rPr>
                <w:rFonts w:ascii="Times New Roman" w:hAnsi="Times New Roman"/>
                <w:sz w:val="24"/>
                <w:szCs w:val="24"/>
              </w:rPr>
              <w:t xml:space="preserve"> w</w:t>
            </w:r>
            <w:r w:rsidR="00CE7F84" w:rsidRPr="0068461A">
              <w:rPr>
                <w:rFonts w:ascii="Times New Roman" w:hAnsi="Times New Roman"/>
                <w:sz w:val="24"/>
                <w:szCs w:val="24"/>
              </w:rPr>
              <w:t xml:space="preserve"> różnorodnych formach </w:t>
            </w:r>
            <w:r w:rsidR="00FF5537" w:rsidRPr="0068461A">
              <w:rPr>
                <w:rFonts w:ascii="Times New Roman" w:hAnsi="Times New Roman"/>
                <w:sz w:val="24"/>
                <w:szCs w:val="24"/>
              </w:rPr>
              <w:t>współczesn</w:t>
            </w:r>
            <w:r w:rsidR="00CE7F84" w:rsidRPr="0068461A">
              <w:rPr>
                <w:rFonts w:ascii="Times New Roman" w:hAnsi="Times New Roman"/>
                <w:sz w:val="24"/>
                <w:szCs w:val="24"/>
              </w:rPr>
              <w:t>ego</w:t>
            </w:r>
            <w:r w:rsidR="00FF5537" w:rsidRPr="0068461A">
              <w:rPr>
                <w:rFonts w:ascii="Times New Roman" w:hAnsi="Times New Roman"/>
                <w:sz w:val="24"/>
                <w:szCs w:val="24"/>
              </w:rPr>
              <w:t xml:space="preserve"> życi</w:t>
            </w:r>
            <w:r w:rsidR="00CE7F84" w:rsidRPr="0068461A">
              <w:rPr>
                <w:rFonts w:ascii="Times New Roman" w:hAnsi="Times New Roman"/>
                <w:sz w:val="24"/>
                <w:szCs w:val="24"/>
              </w:rPr>
              <w:t>a</w:t>
            </w:r>
            <w:r w:rsidR="00FF5537" w:rsidRPr="0068461A">
              <w:rPr>
                <w:rFonts w:ascii="Times New Roman" w:hAnsi="Times New Roman"/>
                <w:sz w:val="24"/>
                <w:szCs w:val="24"/>
              </w:rPr>
              <w:t xml:space="preserve"> kulturaln</w:t>
            </w:r>
            <w:r w:rsidR="00CE7F84" w:rsidRPr="0068461A">
              <w:rPr>
                <w:rFonts w:ascii="Times New Roman" w:hAnsi="Times New Roman"/>
                <w:sz w:val="24"/>
                <w:szCs w:val="24"/>
              </w:rPr>
              <w:t>ego.</w:t>
            </w:r>
          </w:p>
          <w:p w:rsidR="0061251D" w:rsidRPr="0068461A" w:rsidRDefault="0061251D" w:rsidP="00AA723E">
            <w:pPr>
              <w:autoSpaceDE w:val="0"/>
              <w:autoSpaceDN w:val="0"/>
              <w:adjustRightInd w:val="0"/>
              <w:spacing w:line="240" w:lineRule="auto"/>
              <w:jc w:val="both"/>
              <w:rPr>
                <w:rFonts w:ascii="Times New Roman" w:hAnsi="Times New Roman"/>
                <w:bCs/>
                <w:sz w:val="24"/>
                <w:szCs w:val="24"/>
              </w:rPr>
            </w:pPr>
          </w:p>
        </w:tc>
      </w:tr>
      <w:tr w:rsidR="0061251D" w:rsidRPr="0068461A" w:rsidTr="00FF222C">
        <w:tc>
          <w:tcPr>
            <w:tcW w:w="2802" w:type="dxa"/>
          </w:tcPr>
          <w:p w:rsidR="0061251D" w:rsidRPr="0068461A" w:rsidRDefault="0061251D" w:rsidP="00AA723E">
            <w:pPr>
              <w:pStyle w:val="Default"/>
              <w:spacing w:after="240"/>
            </w:pPr>
            <w:r w:rsidRPr="0068461A">
              <w:lastRenderedPageBreak/>
              <w:t xml:space="preserve">Związek kształcenia na kierunku studiów o określonym poziomie i profilu kształcenia z misją i strategią uczelni </w:t>
            </w:r>
          </w:p>
        </w:tc>
        <w:tc>
          <w:tcPr>
            <w:tcW w:w="6410" w:type="dxa"/>
          </w:tcPr>
          <w:p w:rsidR="008C0DAA" w:rsidRPr="0068461A" w:rsidRDefault="0061251D" w:rsidP="00AA723E">
            <w:pPr>
              <w:autoSpaceDE w:val="0"/>
              <w:autoSpaceDN w:val="0"/>
              <w:adjustRightInd w:val="0"/>
              <w:spacing w:after="240"/>
              <w:jc w:val="both"/>
              <w:rPr>
                <w:rFonts w:ascii="Times New Roman" w:hAnsi="Times New Roman"/>
                <w:sz w:val="24"/>
                <w:szCs w:val="24"/>
              </w:rPr>
            </w:pPr>
            <w:r w:rsidRPr="0068461A">
              <w:rPr>
                <w:rFonts w:ascii="Times New Roman" w:hAnsi="Times New Roman"/>
                <w:sz w:val="24"/>
                <w:szCs w:val="24"/>
              </w:rPr>
              <w:t xml:space="preserve">Program kształcenia opracowany został w taki sposób, by zgodnie z treścią § 1 ust. 2 Statutu UJ wykształcić absolwentów gotowych do podejmowania wyzwań </w:t>
            </w:r>
            <w:r w:rsidR="008C0DAA" w:rsidRPr="0068461A">
              <w:rPr>
                <w:rFonts w:ascii="Times New Roman" w:hAnsi="Times New Roman"/>
                <w:sz w:val="24"/>
                <w:szCs w:val="24"/>
              </w:rPr>
              <w:t xml:space="preserve">badawczych i profesjonalnych generowanych przez współczesną naukę i środowisko zawodowe </w:t>
            </w:r>
            <w:r w:rsidRPr="0068461A">
              <w:rPr>
                <w:rFonts w:ascii="Times New Roman" w:hAnsi="Times New Roman"/>
                <w:sz w:val="24"/>
                <w:szCs w:val="24"/>
              </w:rPr>
              <w:t xml:space="preserve">oraz </w:t>
            </w:r>
            <w:r w:rsidR="00602AFA" w:rsidRPr="0068461A">
              <w:rPr>
                <w:rFonts w:ascii="Times New Roman" w:hAnsi="Times New Roman"/>
                <w:sz w:val="24"/>
                <w:szCs w:val="24"/>
              </w:rPr>
              <w:t xml:space="preserve">do </w:t>
            </w:r>
            <w:r w:rsidRPr="0068461A">
              <w:rPr>
                <w:rFonts w:ascii="Times New Roman" w:hAnsi="Times New Roman"/>
                <w:sz w:val="24"/>
                <w:szCs w:val="24"/>
              </w:rPr>
              <w:t xml:space="preserve">identyfikowania problemów i ich samodzielnego rozwiązywania w oparciu o dorobek nauki, w ramach działań podejmowanych indywidualnie i w zespołach, przy zachowaniu poczucia odpowiedzialności za efekty własnej pracy, a w szczególności za zachowanie i dostępność dorobku kulturowego </w:t>
            </w:r>
            <w:r w:rsidR="008C0DAA" w:rsidRPr="0068461A">
              <w:rPr>
                <w:rFonts w:ascii="Times New Roman" w:hAnsi="Times New Roman"/>
                <w:sz w:val="24"/>
                <w:szCs w:val="24"/>
              </w:rPr>
              <w:t xml:space="preserve">Polaków i całej </w:t>
            </w:r>
            <w:r w:rsidRPr="0068461A">
              <w:rPr>
                <w:rFonts w:ascii="Times New Roman" w:hAnsi="Times New Roman"/>
                <w:sz w:val="24"/>
                <w:szCs w:val="24"/>
              </w:rPr>
              <w:t xml:space="preserve">ludzkości </w:t>
            </w:r>
            <w:r w:rsidR="008C0DAA" w:rsidRPr="0068461A">
              <w:rPr>
                <w:rFonts w:ascii="Times New Roman" w:hAnsi="Times New Roman"/>
                <w:sz w:val="24"/>
                <w:szCs w:val="24"/>
              </w:rPr>
              <w:t>oraz</w:t>
            </w:r>
            <w:r w:rsidRPr="0068461A">
              <w:rPr>
                <w:rFonts w:ascii="Times New Roman" w:hAnsi="Times New Roman"/>
                <w:sz w:val="24"/>
                <w:szCs w:val="24"/>
              </w:rPr>
              <w:t xml:space="preserve"> jakość środowiska informacyjnego człowieka. </w:t>
            </w:r>
          </w:p>
          <w:p w:rsidR="00A85CD7" w:rsidRPr="0068461A" w:rsidRDefault="0061251D" w:rsidP="00AA723E">
            <w:pPr>
              <w:autoSpaceDE w:val="0"/>
              <w:autoSpaceDN w:val="0"/>
              <w:adjustRightInd w:val="0"/>
              <w:spacing w:after="240"/>
              <w:jc w:val="both"/>
              <w:rPr>
                <w:rFonts w:ascii="Times New Roman" w:hAnsi="Times New Roman"/>
                <w:sz w:val="24"/>
                <w:szCs w:val="24"/>
              </w:rPr>
            </w:pPr>
            <w:r w:rsidRPr="0068461A">
              <w:rPr>
                <w:rFonts w:ascii="Times New Roman" w:hAnsi="Times New Roman"/>
                <w:sz w:val="24"/>
                <w:szCs w:val="24"/>
              </w:rPr>
              <w:t xml:space="preserve">Zgodnie z Programem Rozwoju UJ oraz § 1 ust. 3 Statutu UJ, program jest </w:t>
            </w:r>
            <w:r w:rsidR="008C0DAA" w:rsidRPr="0068461A">
              <w:rPr>
                <w:rFonts w:ascii="Times New Roman" w:hAnsi="Times New Roman"/>
                <w:sz w:val="24"/>
                <w:szCs w:val="24"/>
              </w:rPr>
              <w:t xml:space="preserve">rozwijany i </w:t>
            </w:r>
            <w:r w:rsidRPr="0068461A">
              <w:rPr>
                <w:rFonts w:ascii="Times New Roman" w:hAnsi="Times New Roman"/>
                <w:sz w:val="24"/>
                <w:szCs w:val="24"/>
              </w:rPr>
              <w:t xml:space="preserve">realizowany </w:t>
            </w:r>
            <w:r w:rsidR="008C0DAA" w:rsidRPr="0068461A">
              <w:rPr>
                <w:rFonts w:ascii="Times New Roman" w:hAnsi="Times New Roman"/>
                <w:sz w:val="24"/>
                <w:szCs w:val="24"/>
              </w:rPr>
              <w:t xml:space="preserve">przy współpracy </w:t>
            </w:r>
            <w:r w:rsidRPr="0068461A">
              <w:rPr>
                <w:rFonts w:ascii="Times New Roman" w:hAnsi="Times New Roman"/>
                <w:sz w:val="24"/>
                <w:szCs w:val="24"/>
              </w:rPr>
              <w:t xml:space="preserve">z zewnętrznymi </w:t>
            </w:r>
            <w:r w:rsidR="000A59E9" w:rsidRPr="0068461A">
              <w:rPr>
                <w:rFonts w:ascii="Times New Roman" w:hAnsi="Times New Roman"/>
                <w:sz w:val="24"/>
                <w:szCs w:val="24"/>
              </w:rPr>
              <w:t>ośrodkami i instytucjami</w:t>
            </w:r>
            <w:r w:rsidR="00496D4A" w:rsidRPr="0068461A">
              <w:rPr>
                <w:rFonts w:ascii="Times New Roman" w:hAnsi="Times New Roman"/>
                <w:sz w:val="24"/>
                <w:szCs w:val="24"/>
              </w:rPr>
              <w:t xml:space="preserve">, w tym szczególnie </w:t>
            </w:r>
            <w:r w:rsidR="000A59E9" w:rsidRPr="0068461A">
              <w:rPr>
                <w:rFonts w:ascii="Times New Roman" w:hAnsi="Times New Roman"/>
                <w:sz w:val="24"/>
                <w:szCs w:val="24"/>
              </w:rPr>
              <w:t xml:space="preserve">z </w:t>
            </w:r>
            <w:r w:rsidRPr="0068461A">
              <w:rPr>
                <w:rFonts w:ascii="Times New Roman" w:hAnsi="Times New Roman"/>
                <w:sz w:val="24"/>
                <w:szCs w:val="24"/>
              </w:rPr>
              <w:t xml:space="preserve">bibliotekami, </w:t>
            </w:r>
            <w:r w:rsidR="000A59E9" w:rsidRPr="0068461A">
              <w:rPr>
                <w:rFonts w:ascii="Times New Roman" w:hAnsi="Times New Roman"/>
                <w:sz w:val="24"/>
                <w:szCs w:val="24"/>
              </w:rPr>
              <w:t>firmami komercyjnymi</w:t>
            </w:r>
            <w:r w:rsidR="00496D4A" w:rsidRPr="0068461A">
              <w:rPr>
                <w:rFonts w:ascii="Times New Roman" w:hAnsi="Times New Roman"/>
                <w:sz w:val="24"/>
                <w:szCs w:val="24"/>
              </w:rPr>
              <w:t xml:space="preserve"> prowadzącymi działalność w zakresie gromadzenia, przetwarzania i udostępniania informacji</w:t>
            </w:r>
            <w:r w:rsidR="000A59E9" w:rsidRPr="0068461A">
              <w:rPr>
                <w:rFonts w:ascii="Times New Roman" w:hAnsi="Times New Roman"/>
                <w:sz w:val="24"/>
                <w:szCs w:val="24"/>
              </w:rPr>
              <w:t>, ośrodkami informacji</w:t>
            </w:r>
            <w:r w:rsidR="00496D4A" w:rsidRPr="0068461A">
              <w:rPr>
                <w:rFonts w:ascii="Times New Roman" w:hAnsi="Times New Roman"/>
                <w:sz w:val="24"/>
                <w:szCs w:val="24"/>
              </w:rPr>
              <w:t>, podmiotami prowadzącymi działalność wydawniczą, księgarską i archiwalną</w:t>
            </w:r>
            <w:r w:rsidRPr="0068461A">
              <w:rPr>
                <w:rFonts w:ascii="Times New Roman" w:hAnsi="Times New Roman"/>
                <w:sz w:val="24"/>
                <w:szCs w:val="24"/>
              </w:rPr>
              <w:t>. Służ</w:t>
            </w:r>
            <w:r w:rsidR="00A85CD7" w:rsidRPr="0068461A">
              <w:rPr>
                <w:rFonts w:ascii="Times New Roman" w:hAnsi="Times New Roman"/>
                <w:sz w:val="24"/>
                <w:szCs w:val="24"/>
              </w:rPr>
              <w:t xml:space="preserve">y </w:t>
            </w:r>
            <w:r w:rsidRPr="0068461A">
              <w:rPr>
                <w:rFonts w:ascii="Times New Roman" w:hAnsi="Times New Roman"/>
                <w:sz w:val="24"/>
                <w:szCs w:val="24"/>
              </w:rPr>
              <w:t>temu między innymi praktyk</w:t>
            </w:r>
            <w:r w:rsidR="00A85CD7" w:rsidRPr="0068461A">
              <w:rPr>
                <w:rFonts w:ascii="Times New Roman" w:hAnsi="Times New Roman"/>
                <w:sz w:val="24"/>
                <w:szCs w:val="24"/>
              </w:rPr>
              <w:t>a</w:t>
            </w:r>
            <w:r w:rsidRPr="0068461A">
              <w:rPr>
                <w:rFonts w:ascii="Times New Roman" w:hAnsi="Times New Roman"/>
                <w:sz w:val="24"/>
                <w:szCs w:val="24"/>
              </w:rPr>
              <w:t xml:space="preserve">, zajęcia terenowe prowadzone na każdym </w:t>
            </w:r>
            <w:r w:rsidRPr="0068461A">
              <w:rPr>
                <w:rFonts w:ascii="Times New Roman" w:hAnsi="Times New Roman"/>
                <w:sz w:val="24"/>
                <w:szCs w:val="24"/>
              </w:rPr>
              <w:lastRenderedPageBreak/>
              <w:t>roku studiów, projekty profesjonalne</w:t>
            </w:r>
            <w:r w:rsidR="00A85CD7" w:rsidRPr="0068461A">
              <w:rPr>
                <w:rFonts w:ascii="Times New Roman" w:hAnsi="Times New Roman"/>
                <w:sz w:val="24"/>
                <w:szCs w:val="24"/>
              </w:rPr>
              <w:t xml:space="preserve"> </w:t>
            </w:r>
            <w:r w:rsidR="00496D4A" w:rsidRPr="0068461A">
              <w:rPr>
                <w:rFonts w:ascii="Times New Roman" w:hAnsi="Times New Roman"/>
                <w:sz w:val="24"/>
                <w:szCs w:val="24"/>
              </w:rPr>
              <w:t>realizowane</w:t>
            </w:r>
            <w:r w:rsidR="00A85CD7" w:rsidRPr="0068461A">
              <w:rPr>
                <w:rFonts w:ascii="Times New Roman" w:hAnsi="Times New Roman"/>
                <w:sz w:val="24"/>
                <w:szCs w:val="24"/>
              </w:rPr>
              <w:t xml:space="preserve"> pod kątem </w:t>
            </w:r>
            <w:r w:rsidR="00496D4A" w:rsidRPr="0068461A">
              <w:rPr>
                <w:rFonts w:ascii="Times New Roman" w:hAnsi="Times New Roman"/>
                <w:sz w:val="24"/>
                <w:szCs w:val="24"/>
              </w:rPr>
              <w:t>zapotrzebowania</w:t>
            </w:r>
            <w:r w:rsidR="00A85CD7" w:rsidRPr="0068461A">
              <w:rPr>
                <w:rFonts w:ascii="Times New Roman" w:hAnsi="Times New Roman"/>
                <w:sz w:val="24"/>
                <w:szCs w:val="24"/>
              </w:rPr>
              <w:t xml:space="preserve"> podmiotów zewnętrznych</w:t>
            </w:r>
            <w:r w:rsidRPr="0068461A">
              <w:rPr>
                <w:rFonts w:ascii="Times New Roman" w:hAnsi="Times New Roman"/>
                <w:sz w:val="24"/>
                <w:szCs w:val="24"/>
              </w:rPr>
              <w:t xml:space="preserve">, wybrane zajęcia prowadzone przez praktyków, stałe konsultacje z praktykami i pracodawcami oraz udział kadry dydaktycznej w konferencjach i projektach integrujących środowisko naukowe i profesjonalne, a także w pewnym stopniu charakter przygotowywanych prac licencjackich. </w:t>
            </w:r>
          </w:p>
          <w:p w:rsidR="0061251D" w:rsidRPr="0068461A" w:rsidRDefault="0061251D" w:rsidP="00AA723E">
            <w:pPr>
              <w:autoSpaceDE w:val="0"/>
              <w:autoSpaceDN w:val="0"/>
              <w:adjustRightInd w:val="0"/>
              <w:spacing w:after="240"/>
              <w:jc w:val="both"/>
              <w:rPr>
                <w:rFonts w:ascii="Times New Roman" w:hAnsi="Times New Roman"/>
                <w:sz w:val="24"/>
                <w:szCs w:val="24"/>
              </w:rPr>
            </w:pPr>
            <w:r w:rsidRPr="0068461A">
              <w:rPr>
                <w:rFonts w:ascii="Times New Roman" w:hAnsi="Times New Roman"/>
                <w:sz w:val="24"/>
                <w:szCs w:val="24"/>
              </w:rPr>
              <w:t xml:space="preserve">Program i sylabusy poszczególnych przedmiotów zostały tak skonstruowane, by zgodnie z § 2 ust. 2 Statutu UJ i Programem Rozwoju UJ, </w:t>
            </w:r>
            <w:r w:rsidR="00496D4A" w:rsidRPr="0068461A">
              <w:rPr>
                <w:rFonts w:ascii="Times New Roman" w:hAnsi="Times New Roman"/>
                <w:sz w:val="24"/>
                <w:szCs w:val="24"/>
              </w:rPr>
              <w:t>przekazywać studentom najnowsze osiągnięcia nauki oraz łą</w:t>
            </w:r>
            <w:r w:rsidRPr="0068461A">
              <w:rPr>
                <w:rFonts w:ascii="Times New Roman" w:hAnsi="Times New Roman"/>
                <w:sz w:val="24"/>
                <w:szCs w:val="24"/>
              </w:rPr>
              <w:t xml:space="preserve">czyć ukazywanie dorobku nauki i wartości podejścia naukowego z kształceniem umiejętności praktycznych i </w:t>
            </w:r>
            <w:r w:rsidR="00496D4A" w:rsidRPr="0068461A">
              <w:rPr>
                <w:rFonts w:ascii="Times New Roman" w:hAnsi="Times New Roman"/>
                <w:sz w:val="24"/>
                <w:szCs w:val="24"/>
              </w:rPr>
              <w:t>motywować</w:t>
            </w:r>
            <w:r w:rsidRPr="0068461A">
              <w:rPr>
                <w:rFonts w:ascii="Times New Roman" w:hAnsi="Times New Roman"/>
                <w:sz w:val="24"/>
                <w:szCs w:val="24"/>
              </w:rPr>
              <w:t xml:space="preserve"> do wykorzystywania osiągnięć nauki w działalności profesjonalnej. </w:t>
            </w:r>
          </w:p>
          <w:p w:rsidR="0061251D" w:rsidRPr="0068461A" w:rsidRDefault="0061251D" w:rsidP="00AA723E">
            <w:pPr>
              <w:spacing w:after="240"/>
              <w:jc w:val="both"/>
              <w:rPr>
                <w:rFonts w:ascii="Times New Roman" w:hAnsi="Times New Roman"/>
                <w:bCs/>
                <w:sz w:val="24"/>
                <w:szCs w:val="24"/>
              </w:rPr>
            </w:pPr>
            <w:r w:rsidRPr="0068461A">
              <w:rPr>
                <w:rFonts w:ascii="Times New Roman" w:hAnsi="Times New Roman"/>
                <w:sz w:val="24"/>
                <w:szCs w:val="24"/>
              </w:rPr>
              <w:t xml:space="preserve">Jednocześnie, zgodnie z wytycznymi sformułowanymi w Programie Rozwoju UJ, duża część zajęć realizowana jest w stosunkowo niewielkich grupach w dobrze wyposażonych laboratoriach komputerowych, przy wykorzystaniu aktywizujących metod problemowych i praktycznych, z wykorzystaniem kształtujących metod oceny oraz metod i narzędzi nauczania na odległość. W odpowiedzi na wskazany w Programie Rozwoju UJ priorytet internacjonalizacji kształcenia, w tworzeniu programu wykorzystano wiedzę na temat oferty studiów w zakresie </w:t>
            </w:r>
            <w:r w:rsidR="00496D4A" w:rsidRPr="0068461A">
              <w:rPr>
                <w:rFonts w:ascii="Times New Roman" w:hAnsi="Times New Roman"/>
                <w:sz w:val="24"/>
                <w:szCs w:val="24"/>
              </w:rPr>
              <w:t>zarzadzania informacją</w:t>
            </w:r>
            <w:r w:rsidRPr="0068461A">
              <w:rPr>
                <w:rFonts w:ascii="Times New Roman" w:hAnsi="Times New Roman"/>
                <w:sz w:val="24"/>
                <w:szCs w:val="24"/>
              </w:rPr>
              <w:t xml:space="preserve"> w ośrodkach zagranicznych</w:t>
            </w:r>
            <w:r w:rsidR="00496D4A" w:rsidRPr="0068461A">
              <w:rPr>
                <w:rFonts w:ascii="Times New Roman" w:hAnsi="Times New Roman"/>
                <w:sz w:val="24"/>
                <w:szCs w:val="24"/>
              </w:rPr>
              <w:t xml:space="preserve">, </w:t>
            </w:r>
            <w:r w:rsidRPr="0068461A">
              <w:rPr>
                <w:rFonts w:ascii="Times New Roman" w:hAnsi="Times New Roman"/>
                <w:sz w:val="24"/>
                <w:szCs w:val="24"/>
              </w:rPr>
              <w:t>umożliwia się realizację części programu na uczelniach zagranicznych</w:t>
            </w:r>
            <w:r w:rsidR="00496D4A" w:rsidRPr="0068461A">
              <w:rPr>
                <w:rFonts w:ascii="Times New Roman" w:hAnsi="Times New Roman"/>
                <w:sz w:val="24"/>
                <w:szCs w:val="24"/>
              </w:rPr>
              <w:t>, a do planu studiów wprowadzono moduły fakultatywne prowadzone w języku angielskim</w:t>
            </w:r>
            <w:r w:rsidRPr="0068461A">
              <w:rPr>
                <w:rFonts w:ascii="Times New Roman" w:hAnsi="Times New Roman"/>
                <w:sz w:val="24"/>
                <w:szCs w:val="24"/>
              </w:rPr>
              <w:t xml:space="preserve">. Program kładzie </w:t>
            </w:r>
            <w:r w:rsidR="00496D4A" w:rsidRPr="0068461A">
              <w:rPr>
                <w:rFonts w:ascii="Times New Roman" w:hAnsi="Times New Roman"/>
                <w:sz w:val="24"/>
                <w:szCs w:val="24"/>
              </w:rPr>
              <w:t xml:space="preserve">też </w:t>
            </w:r>
            <w:r w:rsidRPr="0068461A">
              <w:rPr>
                <w:rFonts w:ascii="Times New Roman" w:hAnsi="Times New Roman"/>
                <w:sz w:val="24"/>
                <w:szCs w:val="24"/>
              </w:rPr>
              <w:t>nacisk na przygotowanie studentów do samodzielnego zdobywania nowych kompetencji oraz do podjęcia studiów II stopnia i studiów podyplomowych, stwarzając tym samym podstawy dla skutecznego uczenia się przez całe życie.</w:t>
            </w:r>
          </w:p>
          <w:p w:rsidR="0061251D" w:rsidRPr="0068461A" w:rsidRDefault="0061251D" w:rsidP="00AA723E">
            <w:pPr>
              <w:spacing w:after="240"/>
              <w:jc w:val="both"/>
              <w:rPr>
                <w:rFonts w:ascii="Times New Roman" w:hAnsi="Times New Roman"/>
                <w:bCs/>
                <w:sz w:val="24"/>
                <w:szCs w:val="24"/>
              </w:rPr>
            </w:pPr>
            <w:r w:rsidRPr="0068461A">
              <w:rPr>
                <w:rFonts w:ascii="Times New Roman" w:hAnsi="Times New Roman"/>
                <w:bCs/>
                <w:sz w:val="24"/>
                <w:szCs w:val="24"/>
              </w:rPr>
              <w:t>Dokumenty:</w:t>
            </w:r>
          </w:p>
          <w:p w:rsidR="00B23D48" w:rsidRPr="0068461A" w:rsidRDefault="0061251D" w:rsidP="00AA723E">
            <w:pPr>
              <w:pStyle w:val="Akapitzlist"/>
              <w:numPr>
                <w:ilvl w:val="0"/>
                <w:numId w:val="6"/>
              </w:numPr>
              <w:spacing w:after="240"/>
              <w:jc w:val="both"/>
              <w:rPr>
                <w:rFonts w:ascii="Times New Roman" w:hAnsi="Times New Roman"/>
                <w:bCs/>
                <w:sz w:val="24"/>
                <w:szCs w:val="24"/>
              </w:rPr>
            </w:pPr>
            <w:r w:rsidRPr="0068461A">
              <w:rPr>
                <w:rFonts w:ascii="Times New Roman" w:hAnsi="Times New Roman"/>
                <w:bCs/>
                <w:sz w:val="24"/>
                <w:szCs w:val="24"/>
              </w:rPr>
              <w:t>Program Rozwoju Uniwersytetu Jagiellońskiego 2010. Wersja jednolita po nowelizacji Programu Rozwoju Uniwersytetu Jagiellońskiego 2007 w czerwcu 2010r.</w:t>
            </w:r>
            <w:r w:rsidRPr="0068461A">
              <w:rPr>
                <w:rFonts w:ascii="Times New Roman" w:hAnsi="Times New Roman"/>
                <w:bCs/>
                <w:sz w:val="24"/>
                <w:szCs w:val="24"/>
              </w:rPr>
              <w:br/>
            </w:r>
            <w:r w:rsidR="00B23D48" w:rsidRPr="0068461A">
              <w:rPr>
                <w:rFonts w:ascii="Times New Roman" w:hAnsi="Times New Roman"/>
                <w:bCs/>
                <w:sz w:val="24"/>
                <w:szCs w:val="24"/>
              </w:rPr>
              <w:t>http://www.uj.edu.pl/documents/10172/24626/Program_rozwoju_UJ_2010.pdf</w:t>
            </w:r>
          </w:p>
          <w:p w:rsidR="0061251D" w:rsidRPr="0068461A" w:rsidRDefault="0061251D" w:rsidP="00AA723E">
            <w:pPr>
              <w:pStyle w:val="Akapitzlist"/>
              <w:numPr>
                <w:ilvl w:val="0"/>
                <w:numId w:val="6"/>
              </w:numPr>
              <w:spacing w:after="240"/>
              <w:jc w:val="both"/>
              <w:rPr>
                <w:rFonts w:ascii="Times New Roman" w:hAnsi="Times New Roman"/>
                <w:bCs/>
                <w:sz w:val="24"/>
                <w:szCs w:val="24"/>
              </w:rPr>
            </w:pPr>
            <w:r w:rsidRPr="0068461A">
              <w:rPr>
                <w:rFonts w:ascii="Times New Roman" w:hAnsi="Times New Roman"/>
                <w:bCs/>
                <w:sz w:val="24"/>
                <w:szCs w:val="24"/>
              </w:rPr>
              <w:t xml:space="preserve">Statut Uniwersytetu Jagiellońskiego uchwalony przez Senat Uniwersytetu Jagiellońskiego 7 czerwca 2006 roku z późniejszymi zmianami. </w:t>
            </w:r>
            <w:r w:rsidR="00B23D48" w:rsidRPr="0068461A">
              <w:rPr>
                <w:rFonts w:ascii="Times New Roman" w:hAnsi="Times New Roman"/>
                <w:bCs/>
                <w:sz w:val="24"/>
                <w:szCs w:val="24"/>
              </w:rPr>
              <w:t>http://www.uj.edu.pl/documents/10172/db0449be-fec4-44f4-b715-b8b080debaa5</w:t>
            </w:r>
          </w:p>
        </w:tc>
      </w:tr>
      <w:tr w:rsidR="0061251D" w:rsidRPr="0068461A" w:rsidTr="00FF222C">
        <w:tc>
          <w:tcPr>
            <w:tcW w:w="2802" w:type="dxa"/>
          </w:tcPr>
          <w:p w:rsidR="0061251D" w:rsidRPr="0068461A" w:rsidRDefault="0061251D" w:rsidP="00E26432">
            <w:pPr>
              <w:pStyle w:val="Default"/>
            </w:pPr>
            <w:r w:rsidRPr="0068461A">
              <w:lastRenderedPageBreak/>
              <w:t xml:space="preserve">Różnice w </w:t>
            </w:r>
            <w:r w:rsidRPr="0068461A">
              <w:lastRenderedPageBreak/>
              <w:t xml:space="preserve">stosunku do innych programów o podobnie zdefiniowanych celach i efektach kształcenia prowadzonych na uczelni </w:t>
            </w:r>
          </w:p>
        </w:tc>
        <w:tc>
          <w:tcPr>
            <w:tcW w:w="6410"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lastRenderedPageBreak/>
              <w:t xml:space="preserve">W trakcie prac nad programem nie były znane inne programy studiów </w:t>
            </w:r>
            <w:r w:rsidRPr="0068461A">
              <w:rPr>
                <w:rFonts w:ascii="Times New Roman" w:hAnsi="Times New Roman"/>
                <w:bCs/>
                <w:sz w:val="24"/>
                <w:szCs w:val="24"/>
              </w:rPr>
              <w:lastRenderedPageBreak/>
              <w:t>oferowane na Uniwersytecie Jagiellońskim, których cele i efekty kształcenia byłyby podobnie definiowane.</w:t>
            </w:r>
          </w:p>
        </w:tc>
      </w:tr>
      <w:tr w:rsidR="0061251D" w:rsidRPr="0068461A" w:rsidTr="00FF222C">
        <w:tc>
          <w:tcPr>
            <w:tcW w:w="2802" w:type="dxa"/>
          </w:tcPr>
          <w:p w:rsidR="0061251D" w:rsidRPr="0068461A" w:rsidRDefault="0061251D" w:rsidP="00016E3A">
            <w:pPr>
              <w:spacing w:after="0" w:line="240" w:lineRule="auto"/>
              <w:rPr>
                <w:rFonts w:ascii="Times New Roman" w:hAnsi="Times New Roman"/>
                <w:bCs/>
                <w:sz w:val="24"/>
                <w:szCs w:val="24"/>
              </w:rPr>
            </w:pPr>
            <w:r w:rsidRPr="0068461A">
              <w:rPr>
                <w:rFonts w:ascii="Times New Roman" w:hAnsi="Times New Roman"/>
                <w:bCs/>
                <w:sz w:val="24"/>
                <w:szCs w:val="24"/>
              </w:rPr>
              <w:lastRenderedPageBreak/>
              <w:t>Możliwości zatrudnienia</w:t>
            </w:r>
          </w:p>
        </w:tc>
        <w:tc>
          <w:tcPr>
            <w:tcW w:w="6410" w:type="dxa"/>
          </w:tcPr>
          <w:p w:rsidR="00BA11BA" w:rsidRPr="0068461A" w:rsidRDefault="00BA11BA" w:rsidP="00016E3A">
            <w:pPr>
              <w:spacing w:after="0"/>
              <w:jc w:val="both"/>
              <w:rPr>
                <w:rFonts w:ascii="Times New Roman" w:hAnsi="Times New Roman"/>
                <w:sz w:val="24"/>
                <w:szCs w:val="24"/>
              </w:rPr>
            </w:pPr>
            <w:r w:rsidRPr="0068461A">
              <w:rPr>
                <w:rFonts w:ascii="Times New Roman" w:hAnsi="Times New Roman"/>
                <w:sz w:val="24"/>
                <w:szCs w:val="24"/>
                <w:lang w:eastAsia="pl-PL"/>
              </w:rPr>
              <w:t xml:space="preserve">Studia dają możliwość zdobycia </w:t>
            </w:r>
            <w:r w:rsidRPr="0068461A">
              <w:rPr>
                <w:rFonts w:ascii="Times New Roman" w:hAnsi="Times New Roman"/>
                <w:sz w:val="24"/>
                <w:szCs w:val="24"/>
              </w:rPr>
              <w:t xml:space="preserve">solidnych umiejętności </w:t>
            </w:r>
            <w:r w:rsidR="00E50B48" w:rsidRPr="0068461A">
              <w:rPr>
                <w:rFonts w:ascii="Times New Roman" w:hAnsi="Times New Roman"/>
                <w:sz w:val="24"/>
                <w:szCs w:val="24"/>
              </w:rPr>
              <w:t>profesjonalnych pożądanych</w:t>
            </w:r>
            <w:r w:rsidRPr="0068461A">
              <w:rPr>
                <w:rFonts w:ascii="Times New Roman" w:hAnsi="Times New Roman"/>
                <w:sz w:val="24"/>
                <w:szCs w:val="24"/>
              </w:rPr>
              <w:t xml:space="preserve"> na szerokim rynku pracy, stwarzających realne podstawy dla rozwoju własnej kariery zawodowej w różnych kierunkach:</w:t>
            </w:r>
          </w:p>
          <w:p w:rsidR="00BA11BA" w:rsidRPr="0068461A" w:rsidRDefault="00BA11BA" w:rsidP="00016E3A">
            <w:pPr>
              <w:pStyle w:val="Akapitzlist"/>
              <w:numPr>
                <w:ilvl w:val="0"/>
                <w:numId w:val="7"/>
              </w:numPr>
              <w:spacing w:after="0"/>
              <w:jc w:val="both"/>
              <w:rPr>
                <w:rFonts w:ascii="Times New Roman" w:hAnsi="Times New Roman"/>
                <w:sz w:val="24"/>
                <w:szCs w:val="24"/>
              </w:rPr>
            </w:pPr>
            <w:r w:rsidRPr="0068461A">
              <w:rPr>
                <w:rFonts w:ascii="Times New Roman" w:hAnsi="Times New Roman"/>
                <w:sz w:val="24"/>
                <w:szCs w:val="24"/>
              </w:rPr>
              <w:t>usługi informacyjne dla nauki, edukacji, biznesu, administracji</w:t>
            </w:r>
            <w:r w:rsidR="00016E3A" w:rsidRPr="0068461A">
              <w:rPr>
                <w:rFonts w:ascii="Times New Roman" w:hAnsi="Times New Roman"/>
                <w:sz w:val="24"/>
                <w:szCs w:val="24"/>
              </w:rPr>
              <w:t xml:space="preserve"> czy potrzeb życia codziennego</w:t>
            </w:r>
            <w:r w:rsidRPr="0068461A">
              <w:rPr>
                <w:rFonts w:ascii="Times New Roman" w:hAnsi="Times New Roman"/>
                <w:sz w:val="24"/>
                <w:szCs w:val="24"/>
              </w:rPr>
              <w:t xml:space="preserve">; </w:t>
            </w:r>
          </w:p>
          <w:p w:rsidR="00BA11BA" w:rsidRPr="0068461A" w:rsidRDefault="00BA11BA" w:rsidP="00016E3A">
            <w:pPr>
              <w:pStyle w:val="Akapitzlist"/>
              <w:numPr>
                <w:ilvl w:val="0"/>
                <w:numId w:val="7"/>
              </w:numPr>
              <w:spacing w:after="0"/>
              <w:jc w:val="both"/>
              <w:rPr>
                <w:rFonts w:ascii="Times New Roman" w:hAnsi="Times New Roman"/>
                <w:sz w:val="24"/>
                <w:szCs w:val="24"/>
              </w:rPr>
            </w:pPr>
            <w:r w:rsidRPr="0068461A">
              <w:rPr>
                <w:rFonts w:ascii="Times New Roman" w:hAnsi="Times New Roman"/>
                <w:sz w:val="24"/>
                <w:szCs w:val="24"/>
              </w:rPr>
              <w:t>tworzenie i zarządzanie kolekcjami cyfrowymi, w tym zarządzanie obiegiem dokumentów elektronicznych w firmach i instytucjach, a także digitalizacja zasobów informacyjnych i ich upublicznianie w środowisku sieciowym oraz organizacja i prowadzenie cyfrowych archiwów;</w:t>
            </w:r>
          </w:p>
          <w:p w:rsidR="00016E3A" w:rsidRPr="0068461A" w:rsidRDefault="00016E3A" w:rsidP="00016E3A">
            <w:pPr>
              <w:pStyle w:val="Akapitzlist"/>
              <w:numPr>
                <w:ilvl w:val="0"/>
                <w:numId w:val="7"/>
              </w:numPr>
              <w:spacing w:after="0"/>
              <w:jc w:val="both"/>
              <w:rPr>
                <w:rFonts w:ascii="Times New Roman" w:hAnsi="Times New Roman"/>
                <w:sz w:val="24"/>
                <w:szCs w:val="24"/>
              </w:rPr>
            </w:pPr>
            <w:r w:rsidRPr="0068461A">
              <w:rPr>
                <w:rFonts w:ascii="Times New Roman" w:hAnsi="Times New Roman"/>
                <w:sz w:val="24"/>
                <w:szCs w:val="24"/>
              </w:rPr>
              <w:t xml:space="preserve">nowoczesne bibliotekarstwo wszelkich typów, </w:t>
            </w:r>
            <w:r w:rsidRPr="0068461A">
              <w:rPr>
                <w:rFonts w:ascii="Times New Roman" w:hAnsi="Times New Roman"/>
                <w:sz w:val="24"/>
                <w:szCs w:val="24"/>
                <w:lang w:eastAsia="pl-PL"/>
              </w:rPr>
              <w:t xml:space="preserve">funkcjonujące w różnych środowiskach i uwarunkowaniach oraz </w:t>
            </w:r>
            <w:r w:rsidRPr="0068461A">
              <w:rPr>
                <w:rFonts w:ascii="Times New Roman" w:hAnsi="Times New Roman"/>
                <w:sz w:val="24"/>
                <w:szCs w:val="24"/>
              </w:rPr>
              <w:t>łączące tradycyjną ofertę z nowatorskim podejściem do użytkownika i szybko postępującym wdrażaniem cyfrowych technologii;</w:t>
            </w:r>
          </w:p>
          <w:p w:rsidR="00BA11BA" w:rsidRPr="0068461A" w:rsidRDefault="00BA11BA" w:rsidP="00016E3A">
            <w:pPr>
              <w:pStyle w:val="Akapitzlist"/>
              <w:numPr>
                <w:ilvl w:val="0"/>
                <w:numId w:val="7"/>
              </w:numPr>
              <w:spacing w:after="0"/>
              <w:jc w:val="both"/>
              <w:rPr>
                <w:rFonts w:ascii="Times New Roman" w:hAnsi="Times New Roman"/>
                <w:sz w:val="24"/>
                <w:szCs w:val="24"/>
              </w:rPr>
            </w:pPr>
            <w:r w:rsidRPr="0068461A">
              <w:rPr>
                <w:rFonts w:ascii="Times New Roman" w:hAnsi="Times New Roman"/>
                <w:sz w:val="24"/>
                <w:szCs w:val="24"/>
              </w:rPr>
              <w:t>projektowanie, ocena i obsługa rozwiązań informacyjnych wspierających różne działania człowieka</w:t>
            </w:r>
            <w:r w:rsidR="00016E3A" w:rsidRPr="0068461A">
              <w:rPr>
                <w:rFonts w:ascii="Times New Roman" w:hAnsi="Times New Roman"/>
                <w:sz w:val="24"/>
                <w:szCs w:val="24"/>
              </w:rPr>
              <w:t>, w tym zarządzanie treścią w różnych systemach informacji;</w:t>
            </w:r>
          </w:p>
          <w:p w:rsidR="0061251D" w:rsidRPr="0068461A" w:rsidRDefault="00BA11BA" w:rsidP="00016E3A">
            <w:pPr>
              <w:pStyle w:val="Akapitzlist"/>
              <w:numPr>
                <w:ilvl w:val="0"/>
                <w:numId w:val="7"/>
              </w:numPr>
              <w:spacing w:after="0"/>
              <w:jc w:val="both"/>
              <w:rPr>
                <w:rFonts w:ascii="Times New Roman" w:hAnsi="Times New Roman"/>
                <w:sz w:val="24"/>
                <w:szCs w:val="24"/>
              </w:rPr>
            </w:pPr>
            <w:r w:rsidRPr="0068461A">
              <w:rPr>
                <w:rFonts w:ascii="Times New Roman" w:hAnsi="Times New Roman"/>
                <w:sz w:val="24"/>
                <w:szCs w:val="24"/>
              </w:rPr>
              <w:t xml:space="preserve">transfer informacji w społeczeństwie – organizowanie, diagnozowanie i realizowanie przepływu informacji między różnymi grupami interesariuszy </w:t>
            </w:r>
            <w:r w:rsidR="00E50B48" w:rsidRPr="0068461A">
              <w:rPr>
                <w:rFonts w:ascii="Times New Roman" w:hAnsi="Times New Roman"/>
                <w:sz w:val="24"/>
                <w:szCs w:val="24"/>
              </w:rPr>
              <w:t>z obszarów</w:t>
            </w:r>
            <w:r w:rsidRPr="0068461A">
              <w:rPr>
                <w:rFonts w:ascii="Times New Roman" w:hAnsi="Times New Roman"/>
                <w:sz w:val="24"/>
                <w:szCs w:val="24"/>
              </w:rPr>
              <w:t xml:space="preserve"> nauki, techniki</w:t>
            </w:r>
            <w:r w:rsidR="00E50B48" w:rsidRPr="0068461A">
              <w:rPr>
                <w:rFonts w:ascii="Times New Roman" w:hAnsi="Times New Roman"/>
                <w:sz w:val="24"/>
                <w:szCs w:val="24"/>
              </w:rPr>
              <w:t>,</w:t>
            </w:r>
            <w:r w:rsidRPr="0068461A">
              <w:rPr>
                <w:rFonts w:ascii="Times New Roman" w:hAnsi="Times New Roman"/>
                <w:sz w:val="24"/>
                <w:szCs w:val="24"/>
              </w:rPr>
              <w:t xml:space="preserve"> gospodarki i kultury, w tym też działalność wydawnicza i księgarska</w:t>
            </w:r>
            <w:r w:rsidR="00016E3A" w:rsidRPr="0068461A">
              <w:rPr>
                <w:rFonts w:ascii="Times New Roman" w:hAnsi="Times New Roman"/>
                <w:sz w:val="24"/>
                <w:szCs w:val="24"/>
              </w:rPr>
              <w:t>.</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Wymagania wstępne</w:t>
            </w:r>
          </w:p>
        </w:tc>
        <w:tc>
          <w:tcPr>
            <w:tcW w:w="6410" w:type="dxa"/>
          </w:tcPr>
          <w:p w:rsidR="0061251D" w:rsidRPr="0068461A" w:rsidRDefault="0061251D" w:rsidP="00C46068">
            <w:pPr>
              <w:pStyle w:val="Default"/>
            </w:pPr>
            <w:r w:rsidRPr="0068461A">
              <w:t>Do podjęcia studiów upoważnione są osoby posiadające świadectwo dojrzałości albo inny dokument uznany za równoważny polskiemu świadectwu dojrzałości.</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bCs/>
                <w:sz w:val="24"/>
                <w:szCs w:val="24"/>
              </w:rPr>
            </w:pPr>
            <w:r w:rsidRPr="0068461A">
              <w:rPr>
                <w:rFonts w:ascii="Times New Roman" w:hAnsi="Times New Roman"/>
                <w:bCs/>
                <w:sz w:val="24"/>
                <w:szCs w:val="24"/>
              </w:rPr>
              <w:t>Zasady rekrutacji</w:t>
            </w:r>
          </w:p>
        </w:tc>
        <w:tc>
          <w:tcPr>
            <w:tcW w:w="6410" w:type="dxa"/>
          </w:tcPr>
          <w:p w:rsidR="0061251D" w:rsidRPr="0068461A" w:rsidRDefault="0061251D" w:rsidP="00FF222C">
            <w:pPr>
              <w:spacing w:after="0" w:line="240" w:lineRule="auto"/>
              <w:rPr>
                <w:rFonts w:ascii="Times New Roman" w:hAnsi="Times New Roman"/>
                <w:sz w:val="24"/>
                <w:szCs w:val="24"/>
              </w:rPr>
            </w:pPr>
            <w:r w:rsidRPr="0068461A">
              <w:rPr>
                <w:rFonts w:ascii="Times New Roman" w:hAnsi="Times New Roman"/>
                <w:sz w:val="24"/>
                <w:szCs w:val="24"/>
              </w:rPr>
              <w:t xml:space="preserve">Podstawą ustalenia listy rankingowej kandydatów są wyniki postępowania kwalifikacyjnego obliczone w oparciu o uzyskane przez kandydatów </w:t>
            </w:r>
            <w:r w:rsidRPr="0068461A">
              <w:rPr>
                <w:rStyle w:val="Uwydatnienie"/>
                <w:rFonts w:ascii="Times New Roman" w:hAnsi="Times New Roman"/>
                <w:i w:val="0"/>
                <w:sz w:val="24"/>
                <w:szCs w:val="24"/>
              </w:rPr>
              <w:t>wyniki przedmiotowe</w:t>
            </w:r>
            <w:r w:rsidRPr="0068461A">
              <w:rPr>
                <w:rFonts w:ascii="Times New Roman" w:hAnsi="Times New Roman"/>
                <w:sz w:val="24"/>
                <w:szCs w:val="24"/>
              </w:rPr>
              <w:t xml:space="preserve"> w grupach przedmiotów:</w:t>
            </w:r>
          </w:p>
          <w:p w:rsidR="0061251D" w:rsidRPr="0068461A" w:rsidRDefault="0061251D" w:rsidP="00FF222C">
            <w:pPr>
              <w:spacing w:after="0" w:line="240" w:lineRule="auto"/>
              <w:rPr>
                <w:rFonts w:ascii="Times New Roman" w:hAnsi="Times New Roman"/>
                <w:sz w:val="24"/>
                <w:szCs w:val="24"/>
                <w:lang w:eastAsia="pl-PL"/>
              </w:rPr>
            </w:pPr>
          </w:p>
          <w:p w:rsidR="0061251D" w:rsidRPr="0068461A" w:rsidRDefault="0061251D" w:rsidP="00FF222C">
            <w:pPr>
              <w:pStyle w:val="Akapitzlist"/>
              <w:numPr>
                <w:ilvl w:val="0"/>
                <w:numId w:val="3"/>
              </w:numPr>
              <w:spacing w:after="0" w:line="240" w:lineRule="auto"/>
              <w:ind w:left="317"/>
              <w:rPr>
                <w:rFonts w:ascii="Times New Roman" w:hAnsi="Times New Roman"/>
                <w:sz w:val="24"/>
                <w:szCs w:val="24"/>
                <w:lang w:eastAsia="pl-PL"/>
              </w:rPr>
            </w:pPr>
            <w:r w:rsidRPr="0068461A">
              <w:rPr>
                <w:rFonts w:ascii="Times New Roman" w:hAnsi="Times New Roman"/>
                <w:sz w:val="24"/>
                <w:szCs w:val="24"/>
                <w:lang w:eastAsia="pl-PL"/>
              </w:rPr>
              <w:t>grupa I: język polski (waga 1), matematyka (waga 1)</w:t>
            </w:r>
          </w:p>
          <w:p w:rsidR="0061251D" w:rsidRPr="0068461A" w:rsidRDefault="0061251D" w:rsidP="00FF222C">
            <w:pPr>
              <w:pStyle w:val="Akapitzlist"/>
              <w:numPr>
                <w:ilvl w:val="0"/>
                <w:numId w:val="3"/>
              </w:numPr>
              <w:spacing w:after="0" w:line="240" w:lineRule="auto"/>
              <w:ind w:left="317"/>
              <w:rPr>
                <w:rFonts w:ascii="Times New Roman" w:hAnsi="Times New Roman"/>
                <w:sz w:val="24"/>
                <w:szCs w:val="24"/>
                <w:lang w:eastAsia="pl-PL"/>
              </w:rPr>
            </w:pPr>
            <w:r w:rsidRPr="0068461A">
              <w:rPr>
                <w:rFonts w:ascii="Times New Roman" w:hAnsi="Times New Roman"/>
                <w:sz w:val="24"/>
                <w:szCs w:val="24"/>
                <w:lang w:eastAsia="pl-PL"/>
              </w:rPr>
              <w:t>grupa II: biologia (waga 1), chemia (waga 1), filozofia (waga 1), fizyka i astronomia (waga 1), geografia (waga 1), historia (waga 1), historia muzyki (waga 1), historia sztuki (waga 1), informatyka (waga 1), język angielski (waga 1), język francuski (waga 1), język hiszpański (waga 1), język łaciński i kultura antyczna (waga 1), język niemiecki (waga 1), język rosyjski (waga 1), język włoski (waga 1), wiedza o społeczeństwie (waga 1).</w:t>
            </w:r>
          </w:p>
          <w:p w:rsidR="0061251D" w:rsidRPr="0068461A" w:rsidRDefault="0061251D" w:rsidP="00FF222C">
            <w:pPr>
              <w:spacing w:before="100" w:beforeAutospacing="1" w:after="100" w:afterAutospacing="1" w:line="240" w:lineRule="auto"/>
              <w:rPr>
                <w:rFonts w:ascii="Times New Roman" w:hAnsi="Times New Roman"/>
                <w:sz w:val="24"/>
                <w:szCs w:val="24"/>
                <w:lang w:eastAsia="pl-PL"/>
              </w:rPr>
            </w:pPr>
            <w:r w:rsidRPr="0068461A">
              <w:rPr>
                <w:rFonts w:ascii="Times New Roman" w:hAnsi="Times New Roman"/>
                <w:sz w:val="24"/>
                <w:szCs w:val="24"/>
                <w:lang w:eastAsia="pl-PL"/>
              </w:rPr>
              <w:lastRenderedPageBreak/>
              <w:t>Wynik postępowania kwalifikacyjnego jest sumą wyników przedmiotowych kandydata pomnożonych przez odpowiadające danym przedmiotom wagi, wybranych w sposób najkorzystniejszy dla kandydata w liczbie:</w:t>
            </w:r>
          </w:p>
          <w:p w:rsidR="0061251D" w:rsidRPr="0068461A" w:rsidRDefault="0061251D" w:rsidP="00FF222C">
            <w:pPr>
              <w:numPr>
                <w:ilvl w:val="0"/>
                <w:numId w:val="2"/>
              </w:numPr>
              <w:tabs>
                <w:tab w:val="clear" w:pos="720"/>
                <w:tab w:val="num" w:pos="459"/>
              </w:tabs>
              <w:spacing w:before="100" w:beforeAutospacing="1" w:after="100" w:afterAutospacing="1" w:line="240" w:lineRule="auto"/>
              <w:ind w:left="317"/>
              <w:rPr>
                <w:rFonts w:ascii="Times New Roman" w:hAnsi="Times New Roman"/>
                <w:sz w:val="24"/>
                <w:szCs w:val="24"/>
                <w:lang w:eastAsia="pl-PL"/>
              </w:rPr>
            </w:pPr>
            <w:r w:rsidRPr="0068461A">
              <w:rPr>
                <w:rFonts w:ascii="Times New Roman" w:hAnsi="Times New Roman"/>
                <w:b/>
                <w:bCs/>
                <w:sz w:val="24"/>
                <w:szCs w:val="24"/>
                <w:lang w:eastAsia="pl-PL"/>
              </w:rPr>
              <w:t>1</w:t>
            </w:r>
            <w:r w:rsidRPr="0068461A">
              <w:rPr>
                <w:rFonts w:ascii="Times New Roman" w:hAnsi="Times New Roman"/>
                <w:sz w:val="24"/>
                <w:szCs w:val="24"/>
                <w:lang w:eastAsia="pl-PL"/>
              </w:rPr>
              <w:t xml:space="preserve"> przedmiot z grupy 1</w:t>
            </w:r>
          </w:p>
          <w:p w:rsidR="0061251D" w:rsidRPr="0068461A" w:rsidRDefault="0061251D" w:rsidP="00FF222C">
            <w:pPr>
              <w:numPr>
                <w:ilvl w:val="0"/>
                <w:numId w:val="2"/>
              </w:numPr>
              <w:tabs>
                <w:tab w:val="clear" w:pos="720"/>
                <w:tab w:val="num" w:pos="459"/>
              </w:tabs>
              <w:spacing w:before="100" w:beforeAutospacing="1" w:after="100" w:afterAutospacing="1" w:line="240" w:lineRule="auto"/>
              <w:ind w:left="317"/>
              <w:rPr>
                <w:rFonts w:ascii="Times New Roman" w:hAnsi="Times New Roman"/>
                <w:sz w:val="24"/>
                <w:szCs w:val="24"/>
                <w:lang w:eastAsia="pl-PL"/>
              </w:rPr>
            </w:pPr>
            <w:r w:rsidRPr="0068461A">
              <w:rPr>
                <w:rFonts w:ascii="Times New Roman" w:hAnsi="Times New Roman"/>
                <w:b/>
                <w:bCs/>
                <w:sz w:val="24"/>
                <w:szCs w:val="24"/>
                <w:lang w:eastAsia="pl-PL"/>
              </w:rPr>
              <w:t>1</w:t>
            </w:r>
            <w:r w:rsidRPr="0068461A">
              <w:rPr>
                <w:rFonts w:ascii="Times New Roman" w:hAnsi="Times New Roman"/>
                <w:sz w:val="24"/>
                <w:szCs w:val="24"/>
                <w:lang w:eastAsia="pl-PL"/>
              </w:rPr>
              <w:t xml:space="preserve"> przedmiot z grupy 2</w:t>
            </w:r>
          </w:p>
          <w:p w:rsidR="0061251D" w:rsidRPr="0068461A" w:rsidRDefault="0061251D" w:rsidP="00FF222C">
            <w:pPr>
              <w:spacing w:before="100" w:beforeAutospacing="1" w:after="100" w:afterAutospacing="1" w:line="240" w:lineRule="auto"/>
              <w:rPr>
                <w:rFonts w:ascii="Times New Roman" w:hAnsi="Times New Roman"/>
                <w:sz w:val="24"/>
                <w:szCs w:val="24"/>
                <w:lang w:eastAsia="pl-PL"/>
              </w:rPr>
            </w:pPr>
            <w:r w:rsidRPr="0068461A">
              <w:rPr>
                <w:rFonts w:ascii="Times New Roman" w:hAnsi="Times New Roman"/>
                <w:sz w:val="24"/>
                <w:szCs w:val="24"/>
                <w:lang w:eastAsia="pl-PL"/>
              </w:rPr>
              <w:t xml:space="preserve">podzieloną przez </w:t>
            </w:r>
            <w:r w:rsidRPr="0068461A">
              <w:rPr>
                <w:rFonts w:ascii="Times New Roman" w:hAnsi="Times New Roman"/>
                <w:b/>
                <w:bCs/>
                <w:sz w:val="24"/>
                <w:szCs w:val="24"/>
                <w:lang w:eastAsia="pl-PL"/>
              </w:rPr>
              <w:t>2</w:t>
            </w:r>
            <w:r w:rsidRPr="0068461A">
              <w:rPr>
                <w:rFonts w:ascii="Times New Roman" w:hAnsi="Times New Roman"/>
                <w:sz w:val="24"/>
                <w:szCs w:val="24"/>
                <w:lang w:eastAsia="pl-PL"/>
              </w:rPr>
              <w:t xml:space="preserve"> (sumę tylu największych wag z każdej grupy, ile przedmiotów z danej grupy branych jest pod uwagę). Tak określony wynik postępowania kwalifikacyjnego jest liczbą z zakresu od 0 do 100, obliczaną i podawaną z do</w:t>
            </w:r>
            <w:r w:rsidRPr="0068461A">
              <w:rPr>
                <w:rFonts w:ascii="Times New Roman" w:hAnsi="Times New Roman"/>
                <w:sz w:val="24"/>
                <w:szCs w:val="24"/>
                <w:lang w:eastAsia="pl-PL"/>
              </w:rPr>
              <w:softHyphen/>
              <w:t>kład</w:t>
            </w:r>
            <w:r w:rsidRPr="0068461A">
              <w:rPr>
                <w:rFonts w:ascii="Times New Roman" w:hAnsi="Times New Roman"/>
                <w:sz w:val="24"/>
                <w:szCs w:val="24"/>
                <w:lang w:eastAsia="pl-PL"/>
              </w:rPr>
              <w:softHyphen/>
              <w:t>nością do dwóch miejsc po przecinku. Brak jakiegokolwiek wyniku przedmiotowego powoduje przyznanie 0 punktów z danego przedmiotu, lecz nie pozbawia kandydata prawa ubiegania się o przyjęcie na studia.</w:t>
            </w:r>
          </w:p>
          <w:p w:rsidR="0061251D" w:rsidRPr="0068461A" w:rsidRDefault="0061251D" w:rsidP="00FF222C">
            <w:pPr>
              <w:spacing w:before="100" w:beforeAutospacing="1" w:after="100" w:afterAutospacing="1" w:line="240" w:lineRule="auto"/>
              <w:rPr>
                <w:rFonts w:ascii="Times New Roman" w:hAnsi="Times New Roman"/>
                <w:sz w:val="24"/>
                <w:szCs w:val="24"/>
                <w:lang w:eastAsia="pl-PL"/>
              </w:rPr>
            </w:pPr>
            <w:r w:rsidRPr="0068461A">
              <w:rPr>
                <w:rFonts w:ascii="Times New Roman" w:hAnsi="Times New Roman"/>
                <w:sz w:val="24"/>
                <w:szCs w:val="24"/>
                <w:lang w:eastAsia="pl-PL"/>
              </w:rPr>
              <w:t xml:space="preserve">Szczegółowe informacje dotyczące rekrutacji, w tym o </w:t>
            </w:r>
            <w:r w:rsidRPr="0068461A">
              <w:rPr>
                <w:rFonts w:ascii="Times New Roman" w:hAnsi="Times New Roman"/>
                <w:sz w:val="24"/>
                <w:szCs w:val="24"/>
              </w:rPr>
              <w:t>sposobie uwzględniania w postępowaniu kwalifikacyjnym osiągnięć</w:t>
            </w:r>
            <w:r w:rsidRPr="0068461A">
              <w:rPr>
                <w:rFonts w:ascii="Times New Roman" w:hAnsi="Times New Roman"/>
                <w:b/>
                <w:sz w:val="24"/>
                <w:szCs w:val="24"/>
              </w:rPr>
              <w:t xml:space="preserve"> </w:t>
            </w:r>
            <w:r w:rsidRPr="0068461A">
              <w:rPr>
                <w:rStyle w:val="Pogrubienie"/>
                <w:rFonts w:ascii="Times New Roman" w:hAnsi="Times New Roman"/>
                <w:b w:val="0"/>
                <w:sz w:val="24"/>
                <w:szCs w:val="24"/>
              </w:rPr>
              <w:t xml:space="preserve">w olimpiadach i konkursach </w:t>
            </w:r>
            <w:r w:rsidRPr="0068461A">
              <w:rPr>
                <w:rFonts w:ascii="Times New Roman" w:hAnsi="Times New Roman"/>
                <w:sz w:val="24"/>
                <w:szCs w:val="24"/>
                <w:lang w:eastAsia="pl-PL"/>
              </w:rPr>
              <w:t xml:space="preserve">znajduje się w serwisie WWW Uniwersytetu Jagiellońskiego, w części poświęconej rekrutacji na studia. </w:t>
            </w:r>
          </w:p>
        </w:tc>
      </w:tr>
      <w:tr w:rsidR="0061251D" w:rsidRPr="0068461A" w:rsidTr="00FF222C">
        <w:tc>
          <w:tcPr>
            <w:tcW w:w="2802" w:type="dxa"/>
          </w:tcPr>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lastRenderedPageBreak/>
              <w:t>Liczba punktów ECTS konieczna do uzyskania</w:t>
            </w:r>
          </w:p>
          <w:p w:rsidR="0061251D" w:rsidRPr="0068461A" w:rsidRDefault="0061251D" w:rsidP="00FF222C">
            <w:pPr>
              <w:spacing w:after="0" w:line="240" w:lineRule="auto"/>
              <w:rPr>
                <w:rFonts w:ascii="Times New Roman" w:hAnsi="Times New Roman"/>
                <w:color w:val="000000"/>
                <w:sz w:val="24"/>
                <w:szCs w:val="24"/>
              </w:rPr>
            </w:pPr>
            <w:r w:rsidRPr="0068461A">
              <w:rPr>
                <w:rFonts w:ascii="Times New Roman" w:hAnsi="Times New Roman"/>
                <w:bCs/>
                <w:color w:val="000000"/>
                <w:sz w:val="24"/>
                <w:szCs w:val="24"/>
              </w:rPr>
              <w:t>kwalifikacji</w:t>
            </w:r>
          </w:p>
        </w:tc>
        <w:tc>
          <w:tcPr>
            <w:tcW w:w="6410" w:type="dxa"/>
          </w:tcPr>
          <w:p w:rsidR="0061251D" w:rsidRPr="0068461A" w:rsidRDefault="0061251D" w:rsidP="000C7FF1">
            <w:pPr>
              <w:pStyle w:val="Default"/>
            </w:pPr>
            <w:r w:rsidRPr="0068461A">
              <w:rPr>
                <w:iCs/>
              </w:rPr>
              <w:t>180</w:t>
            </w:r>
          </w:p>
        </w:tc>
      </w:tr>
      <w:tr w:rsidR="0061251D" w:rsidRPr="0068461A" w:rsidTr="00FF222C">
        <w:tc>
          <w:tcPr>
            <w:tcW w:w="2802" w:type="dxa"/>
          </w:tcPr>
          <w:p w:rsidR="0061251D" w:rsidRPr="0068461A" w:rsidRDefault="0061251D" w:rsidP="00C46068">
            <w:pPr>
              <w:pStyle w:val="Default"/>
            </w:pPr>
            <w:r w:rsidRPr="0068461A">
              <w:t xml:space="preserve">Część programu kształcenia realizowana w postaci zajęć dydaktycznych wymagających bezpośredniego udziału nauczycieli akademickich i studentów </w:t>
            </w:r>
          </w:p>
          <w:p w:rsidR="0061251D" w:rsidRPr="0068461A" w:rsidRDefault="0061251D" w:rsidP="00FF222C">
            <w:pPr>
              <w:spacing w:after="0" w:line="240" w:lineRule="auto"/>
              <w:rPr>
                <w:rFonts w:ascii="Times New Roman" w:hAnsi="Times New Roman"/>
                <w:bCs/>
                <w:color w:val="000000"/>
                <w:sz w:val="24"/>
                <w:szCs w:val="24"/>
              </w:rPr>
            </w:pPr>
          </w:p>
        </w:tc>
        <w:tc>
          <w:tcPr>
            <w:tcW w:w="6410" w:type="dxa"/>
          </w:tcPr>
          <w:p w:rsidR="0061251D" w:rsidRPr="0068461A" w:rsidRDefault="0061251D" w:rsidP="00A56DA7">
            <w:pPr>
              <w:pStyle w:val="Default"/>
            </w:pPr>
            <w:r w:rsidRPr="0068461A">
              <w:t xml:space="preserve">Jest zgodna z  Uchwałą Senatu UJ </w:t>
            </w:r>
            <w:r w:rsidRPr="0068461A">
              <w:rPr>
                <w:bCs/>
              </w:rPr>
              <w:t xml:space="preserve">nr 2/I/2012 z dnia 25 stycznia 2012 r. oraz Zarządzeniem nr 12 Rektora Uniwersytetu Jagiellońskiego z 15 lutego 2012 roku </w:t>
            </w:r>
            <w:r w:rsidRPr="0068461A">
              <w:t>i wynosi ponad 50%.</w:t>
            </w:r>
          </w:p>
          <w:p w:rsidR="0061251D" w:rsidRPr="0068461A" w:rsidRDefault="0061251D" w:rsidP="00A56DA7">
            <w:pPr>
              <w:pStyle w:val="Default"/>
            </w:pPr>
          </w:p>
          <w:p w:rsidR="0061251D" w:rsidRPr="0068461A" w:rsidRDefault="0061251D" w:rsidP="00A56DA7">
            <w:pPr>
              <w:pStyle w:val="Default"/>
            </w:pPr>
            <w:r w:rsidRPr="0068461A">
              <w:t xml:space="preserve">Wskaźnik „S” =  </w:t>
            </w:r>
            <w:r w:rsidRPr="0068461A">
              <w:rPr>
                <w:b/>
              </w:rPr>
              <w:t>1</w:t>
            </w:r>
            <w:r w:rsidR="00B46B0A" w:rsidRPr="0068461A">
              <w:rPr>
                <w:b/>
              </w:rPr>
              <w:t>4</w:t>
            </w:r>
            <w:r w:rsidR="00F760E9" w:rsidRPr="0068461A">
              <w:rPr>
                <w:b/>
              </w:rPr>
              <w:t>3</w:t>
            </w:r>
            <w:r w:rsidRPr="0068461A">
              <w:rPr>
                <w:b/>
              </w:rPr>
              <w:t xml:space="preserve"> ECTS</w:t>
            </w:r>
            <w:r w:rsidRPr="0068461A">
              <w:t xml:space="preserve"> (moduły określone w podpunkcie „a” w adekwatnym polu Załącznika nr 1 do zarządzenia nr 12 Rektora UJ z 15 lutego 2012 r.) + </w:t>
            </w:r>
            <w:r w:rsidR="00B46B0A" w:rsidRPr="0068461A">
              <w:t>4</w:t>
            </w:r>
            <w:r w:rsidRPr="0068461A">
              <w:rPr>
                <w:b/>
              </w:rPr>
              <w:t xml:space="preserve"> ECTS</w:t>
            </w:r>
            <w:r w:rsidRPr="0068461A">
              <w:t xml:space="preserve"> (za części modułów opisanych w podpunkcie „b” w adekwatnym polu Załącznika nr 1 do zarządzenia nr 12 Rektora UJ z 15 lutego 2012 r.) = </w:t>
            </w:r>
            <w:r w:rsidR="00B46B0A" w:rsidRPr="0068461A">
              <w:rPr>
                <w:b/>
              </w:rPr>
              <w:t>14</w:t>
            </w:r>
            <w:r w:rsidR="00F760E9" w:rsidRPr="0068461A">
              <w:rPr>
                <w:b/>
              </w:rPr>
              <w:t>7</w:t>
            </w:r>
            <w:r w:rsidRPr="0068461A">
              <w:rPr>
                <w:b/>
              </w:rPr>
              <w:t>ETCS</w:t>
            </w:r>
          </w:p>
          <w:p w:rsidR="0061251D" w:rsidRPr="0068461A" w:rsidRDefault="0061251D" w:rsidP="00A56DA7">
            <w:pPr>
              <w:pStyle w:val="Default"/>
            </w:pPr>
          </w:p>
          <w:p w:rsidR="00B46B0A" w:rsidRPr="0068461A" w:rsidRDefault="00861DFA" w:rsidP="00B46B0A">
            <w:pPr>
              <w:pStyle w:val="Default"/>
              <w:spacing w:line="276" w:lineRule="auto"/>
            </w:pPr>
            <w:r w:rsidRPr="0068461A">
              <w:rPr>
                <w:b/>
                <w:iCs/>
              </w:rPr>
              <w:t>147</w:t>
            </w:r>
            <w:r w:rsidR="00B46B0A" w:rsidRPr="0068461A">
              <w:rPr>
                <w:iCs/>
              </w:rPr>
              <w:t xml:space="preserve"> punktów ECTS stanowi po zaokrągleniu </w:t>
            </w:r>
            <w:r w:rsidR="00B46B0A" w:rsidRPr="0068461A">
              <w:rPr>
                <w:b/>
              </w:rPr>
              <w:t>8</w:t>
            </w:r>
            <w:r w:rsidR="00F760E9" w:rsidRPr="0068461A">
              <w:rPr>
                <w:b/>
              </w:rPr>
              <w:t>1</w:t>
            </w:r>
            <w:r w:rsidR="00B46B0A" w:rsidRPr="0068461A">
              <w:rPr>
                <w:b/>
              </w:rPr>
              <w:t>,</w:t>
            </w:r>
            <w:r w:rsidR="00F760E9" w:rsidRPr="0068461A">
              <w:rPr>
                <w:b/>
              </w:rPr>
              <w:t>7</w:t>
            </w:r>
            <w:r w:rsidR="00B46B0A" w:rsidRPr="0068461A">
              <w:rPr>
                <w:b/>
              </w:rPr>
              <w:t>%</w:t>
            </w:r>
            <w:r w:rsidR="00B46B0A" w:rsidRPr="0068461A">
              <w:t xml:space="preserve"> programu kształcenia</w:t>
            </w:r>
          </w:p>
          <w:p w:rsidR="0061251D" w:rsidRPr="0068461A" w:rsidRDefault="0061251D" w:rsidP="00A56DA7">
            <w:pPr>
              <w:pStyle w:val="Default"/>
            </w:pPr>
          </w:p>
          <w:p w:rsidR="0061251D" w:rsidRPr="0068461A" w:rsidRDefault="0061251D" w:rsidP="00A56DA7">
            <w:pPr>
              <w:pStyle w:val="Default"/>
            </w:pPr>
            <w:r w:rsidRPr="0068461A">
              <w:t>Szczegółowe wyjaśn</w:t>
            </w:r>
            <w:r w:rsidR="00F83310" w:rsidRPr="0068461A">
              <w:t>ienia dostępne są w załączniku 6</w:t>
            </w:r>
            <w:r w:rsidRPr="0068461A">
              <w:t>b.</w:t>
            </w:r>
          </w:p>
          <w:p w:rsidR="0061251D" w:rsidRPr="0068461A" w:rsidRDefault="0061251D" w:rsidP="00372C4A">
            <w:pPr>
              <w:pStyle w:val="Default"/>
            </w:pPr>
          </w:p>
        </w:tc>
      </w:tr>
      <w:tr w:rsidR="0061251D" w:rsidRPr="0068461A" w:rsidTr="00FF222C">
        <w:tc>
          <w:tcPr>
            <w:tcW w:w="2802" w:type="dxa"/>
          </w:tcPr>
          <w:p w:rsidR="0061251D" w:rsidRPr="0068461A" w:rsidRDefault="0061251D" w:rsidP="00C46068">
            <w:pPr>
              <w:pStyle w:val="Default"/>
            </w:pPr>
            <w:r w:rsidRPr="0068461A">
              <w:t xml:space="preserve">Łączna liczba punktów ECTS, którą student musi uzyskać na zajęciach wymagających bezpośredniego udziału nauczycieli akademickich i </w:t>
            </w:r>
            <w:r w:rsidRPr="0068461A">
              <w:lastRenderedPageBreak/>
              <w:t xml:space="preserve">studentów </w:t>
            </w:r>
          </w:p>
          <w:p w:rsidR="0061251D" w:rsidRPr="0068461A" w:rsidRDefault="0061251D" w:rsidP="00FF222C">
            <w:pPr>
              <w:spacing w:after="0" w:line="240" w:lineRule="auto"/>
              <w:rPr>
                <w:rFonts w:ascii="Times New Roman" w:hAnsi="Times New Roman"/>
                <w:bCs/>
                <w:color w:val="000000"/>
                <w:sz w:val="24"/>
                <w:szCs w:val="24"/>
              </w:rPr>
            </w:pPr>
          </w:p>
        </w:tc>
        <w:tc>
          <w:tcPr>
            <w:tcW w:w="6410" w:type="dxa"/>
          </w:tcPr>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lastRenderedPageBreak/>
              <w:t xml:space="preserve">Łączna liczba godzin realizowanych z bezpośrednim udziałem nauczycieli akademickich i studentów w zależności od wyboru przez studentów przedmiotów fakultatywnych mieści się w przedziale od </w:t>
            </w:r>
            <w:r w:rsidR="001F3CE3" w:rsidRPr="0068461A">
              <w:rPr>
                <w:rFonts w:ascii="Times New Roman" w:hAnsi="Times New Roman"/>
                <w:bCs/>
                <w:color w:val="000000"/>
                <w:sz w:val="24"/>
                <w:szCs w:val="24"/>
              </w:rPr>
              <w:t>1850 do 1915</w:t>
            </w:r>
            <w:r w:rsidRPr="0068461A">
              <w:rPr>
                <w:rFonts w:ascii="Times New Roman" w:hAnsi="Times New Roman"/>
                <w:bCs/>
                <w:color w:val="000000"/>
                <w:sz w:val="24"/>
                <w:szCs w:val="24"/>
              </w:rPr>
              <w:t xml:space="preserve">. Liczba godzin pracy przypisanych jednemu punktowi ECTS mieści się w zakresie do 25 do 30. </w:t>
            </w:r>
          </w:p>
          <w:p w:rsidR="0061251D" w:rsidRPr="0068461A" w:rsidRDefault="0061251D" w:rsidP="008308EC">
            <w:pPr>
              <w:pStyle w:val="Default"/>
            </w:pPr>
            <w:r w:rsidRPr="0068461A">
              <w:rPr>
                <w:bCs/>
              </w:rPr>
              <w:t xml:space="preserve">Zatem </w:t>
            </w:r>
            <w:r w:rsidRPr="0068461A">
              <w:t xml:space="preserve">łączna liczba punktów ECTS, którą student musi uzyskać z tytułu uczestniczenia w zajęciach zorganizowanych na zasadzie bezpośredniego udziału nauczycieli akademickich i studentów wynosi </w:t>
            </w:r>
            <w:r w:rsidR="004F2A23" w:rsidRPr="0068461A">
              <w:t xml:space="preserve">(po zaokrągleniu) </w:t>
            </w:r>
            <w:r w:rsidRPr="0068461A">
              <w:t>dla średniej wielkości liczby godzin przyporządkowanej jednemu punktowi ECTS (</w:t>
            </w:r>
            <w:r w:rsidR="004F2A23" w:rsidRPr="0068461A">
              <w:t>27,5 godziny)</w:t>
            </w:r>
            <w:r w:rsidRPr="0068461A">
              <w:t>:</w:t>
            </w:r>
          </w:p>
          <w:p w:rsidR="0061251D" w:rsidRPr="0068461A" w:rsidRDefault="001F3CE3" w:rsidP="008308EC">
            <w:pPr>
              <w:pStyle w:val="Default"/>
              <w:rPr>
                <w:b/>
              </w:rPr>
            </w:pPr>
            <w:r w:rsidRPr="0068461A">
              <w:rPr>
                <w:b/>
              </w:rPr>
              <w:lastRenderedPageBreak/>
              <w:t>67</w:t>
            </w:r>
            <w:r w:rsidR="0061251D" w:rsidRPr="0068461A">
              <w:rPr>
                <w:b/>
              </w:rPr>
              <w:t xml:space="preserve"> ECTS do 7</w:t>
            </w:r>
            <w:r w:rsidRPr="0068461A">
              <w:rPr>
                <w:b/>
              </w:rPr>
              <w:t>0</w:t>
            </w:r>
            <w:r w:rsidR="0061251D" w:rsidRPr="0068461A">
              <w:rPr>
                <w:b/>
              </w:rPr>
              <w:t xml:space="preserve"> ECTS</w:t>
            </w:r>
          </w:p>
          <w:p w:rsidR="0061251D" w:rsidRPr="0068461A" w:rsidRDefault="0061251D" w:rsidP="004F2A23">
            <w:pPr>
              <w:pStyle w:val="Default"/>
              <w:rPr>
                <w:bCs/>
              </w:rPr>
            </w:pPr>
          </w:p>
        </w:tc>
      </w:tr>
      <w:tr w:rsidR="0061251D" w:rsidRPr="0068461A" w:rsidTr="00FF222C">
        <w:tc>
          <w:tcPr>
            <w:tcW w:w="2802" w:type="dxa"/>
          </w:tcPr>
          <w:p w:rsidR="0061251D" w:rsidRPr="0068461A" w:rsidRDefault="0061251D" w:rsidP="00C46068">
            <w:pPr>
              <w:pStyle w:val="Default"/>
            </w:pPr>
            <w:r w:rsidRPr="0068461A">
              <w:lastRenderedPageBreak/>
              <w:t xml:space="preserve">Łączna liczba punktów ECTS, którą student musi uzyskać w ramach zajęć z zakresu nauk podstawowych, do których odnoszą się efekty kształcenia dla określonego kierunku, poziomu i profilu kształcenia </w:t>
            </w:r>
          </w:p>
          <w:p w:rsidR="0061251D" w:rsidRPr="0068461A" w:rsidRDefault="0061251D" w:rsidP="00FF222C">
            <w:pPr>
              <w:spacing w:after="0" w:line="240" w:lineRule="auto"/>
              <w:rPr>
                <w:rFonts w:ascii="Times New Roman" w:hAnsi="Times New Roman"/>
                <w:bCs/>
                <w:color w:val="000000"/>
                <w:sz w:val="24"/>
                <w:szCs w:val="24"/>
              </w:rPr>
            </w:pPr>
          </w:p>
        </w:tc>
        <w:tc>
          <w:tcPr>
            <w:tcW w:w="6410" w:type="dxa"/>
          </w:tcPr>
          <w:p w:rsidR="0061251D" w:rsidRPr="0068461A" w:rsidRDefault="00D53CBE" w:rsidP="00FF222C">
            <w:pPr>
              <w:spacing w:after="0" w:line="240" w:lineRule="auto"/>
              <w:rPr>
                <w:rFonts w:ascii="Times New Roman" w:hAnsi="Times New Roman"/>
                <w:b/>
                <w:sz w:val="24"/>
                <w:szCs w:val="24"/>
              </w:rPr>
            </w:pPr>
            <w:r w:rsidRPr="0068461A">
              <w:rPr>
                <w:rFonts w:ascii="Times New Roman" w:hAnsi="Times New Roman"/>
                <w:b/>
                <w:sz w:val="24"/>
                <w:szCs w:val="24"/>
              </w:rPr>
              <w:t>49</w:t>
            </w:r>
            <w:r w:rsidR="0061251D" w:rsidRPr="0068461A">
              <w:rPr>
                <w:rFonts w:ascii="Times New Roman" w:hAnsi="Times New Roman"/>
                <w:b/>
                <w:sz w:val="24"/>
                <w:szCs w:val="24"/>
              </w:rPr>
              <w:t xml:space="preserve"> ECTS</w:t>
            </w:r>
          </w:p>
          <w:p w:rsidR="0061251D" w:rsidRPr="0068461A" w:rsidRDefault="004F2A23" w:rsidP="00FF222C">
            <w:pPr>
              <w:spacing w:after="0" w:line="240" w:lineRule="auto"/>
              <w:rPr>
                <w:rFonts w:ascii="Times New Roman" w:hAnsi="Times New Roman"/>
                <w:sz w:val="24"/>
                <w:szCs w:val="24"/>
              </w:rPr>
            </w:pPr>
            <w:r w:rsidRPr="0068461A">
              <w:rPr>
                <w:rFonts w:ascii="Times New Roman" w:hAnsi="Times New Roman"/>
                <w:sz w:val="24"/>
                <w:szCs w:val="24"/>
              </w:rPr>
              <w:t>(</w:t>
            </w:r>
            <w:proofErr w:type="spellStart"/>
            <w:r w:rsidRPr="0068461A">
              <w:rPr>
                <w:rFonts w:ascii="Times New Roman" w:hAnsi="Times New Roman"/>
                <w:sz w:val="24"/>
                <w:szCs w:val="24"/>
              </w:rPr>
              <w:t>załacznik</w:t>
            </w:r>
            <w:proofErr w:type="spellEnd"/>
            <w:r w:rsidRPr="0068461A">
              <w:rPr>
                <w:rFonts w:ascii="Times New Roman" w:hAnsi="Times New Roman"/>
                <w:sz w:val="24"/>
                <w:szCs w:val="24"/>
              </w:rPr>
              <w:t xml:space="preserve"> nr 1)</w:t>
            </w:r>
          </w:p>
          <w:p w:rsidR="0061251D" w:rsidRPr="0068461A" w:rsidRDefault="0061251D" w:rsidP="00FF222C">
            <w:pPr>
              <w:spacing w:after="0" w:line="240" w:lineRule="auto"/>
              <w:ind w:left="33"/>
              <w:jc w:val="both"/>
              <w:rPr>
                <w:rFonts w:ascii="Times New Roman" w:hAnsi="Times New Roman"/>
                <w:i/>
                <w:sz w:val="24"/>
                <w:szCs w:val="24"/>
              </w:rPr>
            </w:pPr>
          </w:p>
          <w:p w:rsidR="0061251D" w:rsidRPr="0068461A" w:rsidRDefault="0061251D" w:rsidP="006C25F2">
            <w:pPr>
              <w:spacing w:after="0" w:line="240" w:lineRule="auto"/>
              <w:ind w:left="33"/>
              <w:jc w:val="both"/>
              <w:rPr>
                <w:rFonts w:ascii="Times New Roman" w:hAnsi="Times New Roman"/>
                <w:bCs/>
                <w:color w:val="000000"/>
                <w:sz w:val="24"/>
                <w:szCs w:val="24"/>
              </w:rPr>
            </w:pPr>
          </w:p>
        </w:tc>
      </w:tr>
      <w:tr w:rsidR="0061251D" w:rsidRPr="0068461A" w:rsidTr="00FF222C">
        <w:tc>
          <w:tcPr>
            <w:tcW w:w="2802" w:type="dxa"/>
          </w:tcPr>
          <w:p w:rsidR="0061251D" w:rsidRPr="0068461A" w:rsidRDefault="0061251D" w:rsidP="00C46068">
            <w:pPr>
              <w:pStyle w:val="Default"/>
            </w:pPr>
            <w:r w:rsidRPr="0068461A">
              <w:t xml:space="preserve">Łączna liczba punktów ECTS, którą student musi uzyskać w ramach zajęć o charakterze praktycznym, w tym zajęć laboratoryjnych i projektowych </w:t>
            </w:r>
          </w:p>
          <w:p w:rsidR="0061251D" w:rsidRPr="0068461A" w:rsidRDefault="0061251D" w:rsidP="00C46068">
            <w:pPr>
              <w:pStyle w:val="Default"/>
            </w:pPr>
          </w:p>
        </w:tc>
        <w:tc>
          <w:tcPr>
            <w:tcW w:w="6410" w:type="dxa"/>
          </w:tcPr>
          <w:p w:rsidR="00300C70" w:rsidRPr="0068461A" w:rsidRDefault="00471BDC" w:rsidP="00FF222C">
            <w:pPr>
              <w:spacing w:after="0" w:line="240" w:lineRule="auto"/>
              <w:rPr>
                <w:rFonts w:ascii="Times New Roman" w:hAnsi="Times New Roman"/>
                <w:b/>
                <w:bCs/>
                <w:color w:val="000000"/>
                <w:sz w:val="24"/>
                <w:szCs w:val="24"/>
              </w:rPr>
            </w:pPr>
            <w:r w:rsidRPr="0068461A">
              <w:rPr>
                <w:rFonts w:ascii="Times New Roman" w:hAnsi="Times New Roman"/>
                <w:b/>
                <w:bCs/>
                <w:color w:val="000000"/>
                <w:sz w:val="24"/>
                <w:szCs w:val="24"/>
              </w:rPr>
              <w:t>71</w:t>
            </w:r>
            <w:r w:rsidR="007D0791" w:rsidRPr="0068461A">
              <w:rPr>
                <w:rFonts w:ascii="Times New Roman" w:hAnsi="Times New Roman"/>
                <w:b/>
                <w:bCs/>
                <w:color w:val="000000"/>
                <w:sz w:val="24"/>
                <w:szCs w:val="24"/>
              </w:rPr>
              <w:t xml:space="preserve"> ECTS </w:t>
            </w:r>
          </w:p>
          <w:p w:rsidR="00E101CD" w:rsidRPr="0068461A" w:rsidRDefault="00E101CD" w:rsidP="00FF222C">
            <w:pPr>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t>(załącznik nr 2)</w:t>
            </w:r>
          </w:p>
          <w:p w:rsidR="007D0791" w:rsidRPr="0068461A" w:rsidRDefault="007D0791" w:rsidP="00FF222C">
            <w:pPr>
              <w:spacing w:after="0" w:line="240" w:lineRule="auto"/>
              <w:rPr>
                <w:rFonts w:ascii="Times New Roman" w:hAnsi="Times New Roman"/>
                <w:bCs/>
                <w:color w:val="000000"/>
                <w:sz w:val="24"/>
                <w:szCs w:val="24"/>
              </w:rPr>
            </w:pPr>
          </w:p>
          <w:p w:rsidR="0061251D" w:rsidRPr="0068461A" w:rsidRDefault="0061251D" w:rsidP="002662F8">
            <w:pPr>
              <w:spacing w:after="0" w:line="240" w:lineRule="auto"/>
              <w:rPr>
                <w:rFonts w:ascii="Times New Roman" w:hAnsi="Times New Roman"/>
                <w:sz w:val="24"/>
                <w:szCs w:val="24"/>
              </w:rPr>
            </w:pPr>
          </w:p>
        </w:tc>
      </w:tr>
      <w:tr w:rsidR="0061251D" w:rsidRPr="0068461A" w:rsidTr="00FF222C">
        <w:tc>
          <w:tcPr>
            <w:tcW w:w="2802" w:type="dxa"/>
          </w:tcPr>
          <w:p w:rsidR="0061251D" w:rsidRPr="0068461A" w:rsidRDefault="0061251D" w:rsidP="00C46068">
            <w:pPr>
              <w:pStyle w:val="Default"/>
            </w:pPr>
            <w:r w:rsidRPr="0068461A">
              <w:t xml:space="preserve">Minimalna liczba punktów ECTS, którą student musi uzyskać realizując moduły kształcenia oferowane na zajęciach ogólnouczelnianych lub na innym kierunku studiów </w:t>
            </w:r>
          </w:p>
          <w:p w:rsidR="0061251D" w:rsidRPr="0068461A" w:rsidRDefault="0061251D" w:rsidP="00C46068">
            <w:pPr>
              <w:pStyle w:val="Default"/>
            </w:pPr>
          </w:p>
        </w:tc>
        <w:tc>
          <w:tcPr>
            <w:tcW w:w="6410" w:type="dxa"/>
          </w:tcPr>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t>4 ECTS</w:t>
            </w:r>
          </w:p>
          <w:p w:rsidR="0061251D" w:rsidRPr="0068461A" w:rsidRDefault="0061251D" w:rsidP="00FF222C">
            <w:pPr>
              <w:autoSpaceDE w:val="0"/>
              <w:autoSpaceDN w:val="0"/>
              <w:adjustRightInd w:val="0"/>
              <w:spacing w:after="0" w:line="240" w:lineRule="auto"/>
              <w:rPr>
                <w:rFonts w:ascii="Times New Roman" w:hAnsi="Times New Roman"/>
                <w:bCs/>
                <w:i/>
                <w:color w:val="000000"/>
                <w:sz w:val="24"/>
                <w:szCs w:val="24"/>
              </w:rPr>
            </w:pPr>
            <w:r w:rsidRPr="0068461A">
              <w:rPr>
                <w:rFonts w:ascii="Times New Roman" w:hAnsi="Times New Roman"/>
                <w:bCs/>
                <w:i/>
                <w:color w:val="000000"/>
                <w:sz w:val="24"/>
                <w:szCs w:val="24"/>
              </w:rPr>
              <w:t>Dotyczy zajęć „Język obcy nowożytny”</w:t>
            </w:r>
          </w:p>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p>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p>
        </w:tc>
      </w:tr>
      <w:tr w:rsidR="0061251D" w:rsidRPr="0068461A" w:rsidTr="00FF222C">
        <w:tc>
          <w:tcPr>
            <w:tcW w:w="2802" w:type="dxa"/>
          </w:tcPr>
          <w:p w:rsidR="0061251D" w:rsidRPr="0068461A" w:rsidRDefault="0061251D" w:rsidP="00C46068">
            <w:pPr>
              <w:pStyle w:val="Default"/>
            </w:pPr>
            <w:r w:rsidRPr="0068461A">
              <w:t xml:space="preserve">Minimalna liczba punktów ECTS, którą student musi uzyskać na zajęciach z wychowania fizycznego </w:t>
            </w:r>
          </w:p>
          <w:p w:rsidR="0061251D" w:rsidRPr="0068461A" w:rsidRDefault="0061251D" w:rsidP="00C46068">
            <w:pPr>
              <w:pStyle w:val="Default"/>
            </w:pPr>
          </w:p>
        </w:tc>
        <w:tc>
          <w:tcPr>
            <w:tcW w:w="6410" w:type="dxa"/>
          </w:tcPr>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t>0 ECTS</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color w:val="000000"/>
                <w:sz w:val="24"/>
                <w:szCs w:val="24"/>
              </w:rPr>
            </w:pPr>
            <w:r w:rsidRPr="0068461A">
              <w:rPr>
                <w:rFonts w:ascii="Times New Roman" w:hAnsi="Times New Roman"/>
                <w:bCs/>
                <w:color w:val="000000"/>
                <w:sz w:val="24"/>
                <w:szCs w:val="24"/>
              </w:rPr>
              <w:t>Liczba semestrów</w:t>
            </w:r>
          </w:p>
        </w:tc>
        <w:tc>
          <w:tcPr>
            <w:tcW w:w="6410" w:type="dxa"/>
          </w:tcPr>
          <w:p w:rsidR="0061251D" w:rsidRPr="0068461A" w:rsidRDefault="0061251D" w:rsidP="00FF222C">
            <w:pPr>
              <w:autoSpaceDE w:val="0"/>
              <w:autoSpaceDN w:val="0"/>
              <w:adjustRightInd w:val="0"/>
              <w:spacing w:after="0" w:line="240" w:lineRule="auto"/>
              <w:rPr>
                <w:rFonts w:ascii="Times New Roman" w:hAnsi="Times New Roman"/>
                <w:color w:val="000000"/>
                <w:sz w:val="24"/>
                <w:szCs w:val="24"/>
              </w:rPr>
            </w:pPr>
            <w:r w:rsidRPr="0068461A">
              <w:rPr>
                <w:rFonts w:ascii="Times New Roman" w:hAnsi="Times New Roman"/>
                <w:iCs/>
                <w:sz w:val="24"/>
                <w:szCs w:val="24"/>
              </w:rPr>
              <w:t xml:space="preserve">6 semestrów </w:t>
            </w:r>
          </w:p>
        </w:tc>
      </w:tr>
      <w:tr w:rsidR="0061251D" w:rsidRPr="0068461A" w:rsidTr="00FF222C">
        <w:tc>
          <w:tcPr>
            <w:tcW w:w="2802" w:type="dxa"/>
          </w:tcPr>
          <w:p w:rsidR="0061251D" w:rsidRPr="0068461A" w:rsidRDefault="0061251D" w:rsidP="00C46068">
            <w:pPr>
              <w:pStyle w:val="Default"/>
            </w:pPr>
            <w:r w:rsidRPr="0068461A">
              <w:t xml:space="preserve">Opis zakładanych </w:t>
            </w:r>
            <w:r w:rsidRPr="0068461A">
              <w:lastRenderedPageBreak/>
              <w:t xml:space="preserve">efektów kształcenia </w:t>
            </w:r>
          </w:p>
          <w:p w:rsidR="0061251D" w:rsidRPr="0068461A" w:rsidRDefault="0061251D" w:rsidP="00FF222C">
            <w:pPr>
              <w:spacing w:after="0" w:line="240" w:lineRule="auto"/>
              <w:rPr>
                <w:rFonts w:ascii="Times New Roman" w:hAnsi="Times New Roman"/>
                <w:bCs/>
                <w:color w:val="000000"/>
                <w:sz w:val="24"/>
                <w:szCs w:val="24"/>
              </w:rPr>
            </w:pPr>
          </w:p>
        </w:tc>
        <w:tc>
          <w:tcPr>
            <w:tcW w:w="6410" w:type="dxa"/>
          </w:tcPr>
          <w:p w:rsidR="0061251D" w:rsidRPr="0068461A" w:rsidRDefault="00E101C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iCs/>
                <w:sz w:val="24"/>
                <w:szCs w:val="24"/>
              </w:rPr>
              <w:lastRenderedPageBreak/>
              <w:t>W załączeniu (załącznik nr 3</w:t>
            </w:r>
            <w:r w:rsidR="0061251D" w:rsidRPr="0068461A">
              <w:rPr>
                <w:rFonts w:ascii="Times New Roman" w:hAnsi="Times New Roman"/>
                <w:iCs/>
                <w:sz w:val="24"/>
                <w:szCs w:val="24"/>
              </w:rPr>
              <w:t>)</w:t>
            </w:r>
          </w:p>
        </w:tc>
      </w:tr>
      <w:tr w:rsidR="0061251D" w:rsidRPr="0068461A" w:rsidTr="00FF222C">
        <w:tc>
          <w:tcPr>
            <w:tcW w:w="2802" w:type="dxa"/>
          </w:tcPr>
          <w:p w:rsidR="0061251D" w:rsidRPr="0068461A" w:rsidRDefault="0061251D" w:rsidP="00FF222C">
            <w:pPr>
              <w:spacing w:after="0" w:line="240" w:lineRule="auto"/>
              <w:rPr>
                <w:rFonts w:ascii="Times New Roman" w:hAnsi="Times New Roman"/>
                <w:color w:val="000000"/>
                <w:sz w:val="24"/>
                <w:szCs w:val="24"/>
              </w:rPr>
            </w:pPr>
            <w:r w:rsidRPr="0068461A">
              <w:rPr>
                <w:rFonts w:ascii="Times New Roman" w:hAnsi="Times New Roman"/>
                <w:bCs/>
                <w:color w:val="000000"/>
                <w:sz w:val="24"/>
                <w:szCs w:val="24"/>
              </w:rPr>
              <w:lastRenderedPageBreak/>
              <w:t>Plan studiów</w:t>
            </w:r>
          </w:p>
        </w:tc>
        <w:tc>
          <w:tcPr>
            <w:tcW w:w="6410" w:type="dxa"/>
          </w:tcPr>
          <w:p w:rsidR="0061251D" w:rsidRPr="0068461A" w:rsidRDefault="00E101CD" w:rsidP="00FF222C">
            <w:pPr>
              <w:spacing w:after="0" w:line="240" w:lineRule="auto"/>
              <w:rPr>
                <w:rFonts w:ascii="Times New Roman" w:hAnsi="Times New Roman"/>
                <w:color w:val="000000"/>
                <w:sz w:val="24"/>
                <w:szCs w:val="24"/>
              </w:rPr>
            </w:pPr>
            <w:r w:rsidRPr="0068461A">
              <w:rPr>
                <w:rFonts w:ascii="Times New Roman" w:hAnsi="Times New Roman"/>
                <w:iCs/>
                <w:sz w:val="24"/>
                <w:szCs w:val="24"/>
              </w:rPr>
              <w:t>W załączeniu (załącznik nr 4</w:t>
            </w:r>
            <w:r w:rsidR="0061251D" w:rsidRPr="0068461A">
              <w:rPr>
                <w:rFonts w:ascii="Times New Roman" w:hAnsi="Times New Roman"/>
                <w:iCs/>
                <w:sz w:val="24"/>
                <w:szCs w:val="24"/>
              </w:rPr>
              <w:t>)</w:t>
            </w:r>
          </w:p>
        </w:tc>
      </w:tr>
      <w:tr w:rsidR="0061251D" w:rsidRPr="0068461A" w:rsidTr="00FF222C">
        <w:tc>
          <w:tcPr>
            <w:tcW w:w="2802" w:type="dxa"/>
          </w:tcPr>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t>Sylabusy poszczególnych modułów kształcenia</w:t>
            </w:r>
          </w:p>
          <w:p w:rsidR="0061251D" w:rsidRPr="0068461A" w:rsidRDefault="0061251D" w:rsidP="00FF222C">
            <w:pPr>
              <w:autoSpaceDE w:val="0"/>
              <w:autoSpaceDN w:val="0"/>
              <w:adjustRightInd w:val="0"/>
              <w:spacing w:after="0" w:line="240" w:lineRule="auto"/>
              <w:rPr>
                <w:rFonts w:ascii="Times New Roman" w:hAnsi="Times New Roman"/>
                <w:bCs/>
                <w:color w:val="000000"/>
                <w:sz w:val="24"/>
                <w:szCs w:val="24"/>
              </w:rPr>
            </w:pPr>
            <w:r w:rsidRPr="0068461A">
              <w:rPr>
                <w:rFonts w:ascii="Times New Roman" w:hAnsi="Times New Roman"/>
                <w:bCs/>
                <w:color w:val="000000"/>
                <w:sz w:val="24"/>
                <w:szCs w:val="24"/>
              </w:rPr>
              <w:t>uwzględniające metody weryfikacji efektów</w:t>
            </w:r>
          </w:p>
          <w:p w:rsidR="0061251D" w:rsidRPr="0068461A" w:rsidRDefault="0061251D" w:rsidP="00FF222C">
            <w:pPr>
              <w:spacing w:after="0" w:line="240" w:lineRule="auto"/>
              <w:rPr>
                <w:rFonts w:ascii="Times New Roman" w:hAnsi="Times New Roman"/>
                <w:color w:val="000000"/>
                <w:sz w:val="24"/>
                <w:szCs w:val="24"/>
              </w:rPr>
            </w:pPr>
            <w:r w:rsidRPr="0068461A">
              <w:rPr>
                <w:rFonts w:ascii="Times New Roman" w:hAnsi="Times New Roman"/>
                <w:bCs/>
                <w:color w:val="000000"/>
                <w:sz w:val="24"/>
                <w:szCs w:val="24"/>
              </w:rPr>
              <w:t>kształcenia osiąganych przez studentów</w:t>
            </w:r>
          </w:p>
        </w:tc>
        <w:tc>
          <w:tcPr>
            <w:tcW w:w="6410" w:type="dxa"/>
          </w:tcPr>
          <w:p w:rsidR="0061251D" w:rsidRPr="0068461A" w:rsidRDefault="00E101CD" w:rsidP="00FF222C">
            <w:pPr>
              <w:spacing w:after="0" w:line="240" w:lineRule="auto"/>
              <w:rPr>
                <w:rFonts w:ascii="Times New Roman" w:hAnsi="Times New Roman"/>
                <w:color w:val="000000"/>
                <w:sz w:val="24"/>
                <w:szCs w:val="24"/>
              </w:rPr>
            </w:pPr>
            <w:r w:rsidRPr="0068461A">
              <w:rPr>
                <w:rFonts w:ascii="Times New Roman" w:hAnsi="Times New Roman"/>
                <w:iCs/>
                <w:sz w:val="24"/>
                <w:szCs w:val="24"/>
              </w:rPr>
              <w:t>W załączeniu (załącznik nr 5</w:t>
            </w:r>
            <w:r w:rsidR="0061251D" w:rsidRPr="0068461A">
              <w:rPr>
                <w:rFonts w:ascii="Times New Roman" w:hAnsi="Times New Roman"/>
                <w:iCs/>
                <w:sz w:val="24"/>
                <w:szCs w:val="24"/>
              </w:rPr>
              <w:t>)</w:t>
            </w:r>
          </w:p>
        </w:tc>
      </w:tr>
      <w:tr w:rsidR="0061251D" w:rsidRPr="0068461A" w:rsidTr="00FF222C">
        <w:tc>
          <w:tcPr>
            <w:tcW w:w="2802" w:type="dxa"/>
          </w:tcPr>
          <w:p w:rsidR="0061251D" w:rsidRPr="0068461A" w:rsidRDefault="0061251D" w:rsidP="00204839">
            <w:pPr>
              <w:pStyle w:val="Default"/>
            </w:pPr>
            <w:r w:rsidRPr="0068461A">
              <w:t xml:space="preserve">Wymiar, zasady i forma odbywania praktyk w przypadku, gdy program kształcenia przewiduje praktyki </w:t>
            </w:r>
          </w:p>
          <w:p w:rsidR="0061251D" w:rsidRPr="0068461A" w:rsidRDefault="0061251D" w:rsidP="00204839">
            <w:pPr>
              <w:spacing w:after="0" w:line="240" w:lineRule="auto"/>
              <w:rPr>
                <w:rFonts w:ascii="Times New Roman" w:hAnsi="Times New Roman"/>
                <w:color w:val="000000"/>
                <w:sz w:val="24"/>
                <w:szCs w:val="24"/>
              </w:rPr>
            </w:pPr>
          </w:p>
        </w:tc>
        <w:tc>
          <w:tcPr>
            <w:tcW w:w="6410" w:type="dxa"/>
          </w:tcPr>
          <w:p w:rsidR="00B7273F" w:rsidRPr="0068461A" w:rsidRDefault="00B7273F" w:rsidP="00204839">
            <w:pPr>
              <w:spacing w:after="0"/>
              <w:jc w:val="both"/>
              <w:rPr>
                <w:rFonts w:ascii="Times New Roman" w:hAnsi="Times New Roman"/>
                <w:color w:val="000000"/>
                <w:sz w:val="24"/>
                <w:szCs w:val="24"/>
              </w:rPr>
            </w:pPr>
            <w:r w:rsidRPr="0068461A">
              <w:rPr>
                <w:rFonts w:ascii="Times New Roman" w:hAnsi="Times New Roman"/>
                <w:sz w:val="24"/>
                <w:szCs w:val="24"/>
              </w:rPr>
              <w:t xml:space="preserve">Praktyka </w:t>
            </w:r>
            <w:r w:rsidRPr="0068461A">
              <w:rPr>
                <w:rFonts w:ascii="Times New Roman" w:hAnsi="Times New Roman"/>
                <w:color w:val="000000"/>
                <w:sz w:val="24"/>
                <w:szCs w:val="24"/>
              </w:rPr>
              <w:t xml:space="preserve">(opcje do wyboru: ośrodki informacji, firmy </w:t>
            </w:r>
            <w:proofErr w:type="spellStart"/>
            <w:r w:rsidRPr="0068461A">
              <w:rPr>
                <w:rFonts w:ascii="Times New Roman" w:hAnsi="Times New Roman"/>
                <w:color w:val="000000"/>
                <w:sz w:val="24"/>
                <w:szCs w:val="24"/>
              </w:rPr>
              <w:t>infobrokerskie</w:t>
            </w:r>
            <w:proofErr w:type="spellEnd"/>
            <w:r w:rsidRPr="0068461A">
              <w:rPr>
                <w:rFonts w:ascii="Times New Roman" w:hAnsi="Times New Roman"/>
                <w:color w:val="000000"/>
                <w:sz w:val="24"/>
                <w:szCs w:val="24"/>
              </w:rPr>
              <w:t xml:space="preserve">, biblioteki, archiwa, i inne ośrodki, w których gromadzi się, przetwarza i udostępnia informację), </w:t>
            </w:r>
            <w:r w:rsidR="00204839" w:rsidRPr="0068461A">
              <w:rPr>
                <w:rFonts w:ascii="Times New Roman" w:hAnsi="Times New Roman"/>
                <w:color w:val="000000"/>
                <w:sz w:val="24"/>
                <w:szCs w:val="24"/>
              </w:rPr>
              <w:t>IV semestr, 5 ECTS</w:t>
            </w:r>
          </w:p>
          <w:p w:rsidR="00204839" w:rsidRPr="0068461A" w:rsidRDefault="00204839" w:rsidP="00204839">
            <w:pPr>
              <w:spacing w:after="0"/>
              <w:jc w:val="both"/>
              <w:rPr>
                <w:rFonts w:ascii="Times New Roman" w:hAnsi="Times New Roman"/>
                <w:sz w:val="24"/>
                <w:szCs w:val="24"/>
              </w:rPr>
            </w:pP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Wymiar praktyki: 120 godzin</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 xml:space="preserve">1. Praktyka powinna odbywać się w </w:t>
            </w:r>
            <w:r w:rsidRPr="0068461A">
              <w:rPr>
                <w:rFonts w:ascii="Times New Roman" w:hAnsi="Times New Roman"/>
                <w:color w:val="000000"/>
                <w:sz w:val="24"/>
                <w:szCs w:val="24"/>
              </w:rPr>
              <w:t xml:space="preserve">ośrodku informacji, firmie </w:t>
            </w:r>
            <w:proofErr w:type="spellStart"/>
            <w:r w:rsidRPr="0068461A">
              <w:rPr>
                <w:rFonts w:ascii="Times New Roman" w:hAnsi="Times New Roman"/>
                <w:color w:val="000000"/>
                <w:sz w:val="24"/>
                <w:szCs w:val="24"/>
              </w:rPr>
              <w:t>infobrokerskiej</w:t>
            </w:r>
            <w:proofErr w:type="spellEnd"/>
            <w:r w:rsidRPr="0068461A">
              <w:rPr>
                <w:rFonts w:ascii="Times New Roman" w:hAnsi="Times New Roman"/>
                <w:color w:val="000000"/>
                <w:sz w:val="24"/>
                <w:szCs w:val="24"/>
              </w:rPr>
              <w:t>, bibliotece, archiwum lub w innych jednostkach, w których gromadzi się, przetwarza i udostępnia informację</w:t>
            </w:r>
            <w:r w:rsidRPr="0068461A">
              <w:rPr>
                <w:rFonts w:ascii="Times New Roman" w:hAnsi="Times New Roman"/>
                <w:sz w:val="24"/>
                <w:szCs w:val="24"/>
              </w:rPr>
              <w:t>.</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2. Ostateczną decyzję o miejscu odbycia praktyki podejmuje opiekun praktyk. Niemniej student sam może sam znaleźć miejsce odbycia praktyki pod warunkiem, że uzyska ono akceptację opiekuna praktyk.</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3. Jednorazowy pobyt w placówce, w której realizowana jest praktyka, nie może być krótszy niż 5 godzin.</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4. Praktyki nie można odbywać w terminie zajęć.</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5. Należy skontaktować się z opiekunem praktyk w celu ustalenia miejsca praktyki i odebrania: skierowania, programu praktyk oraz dziennika praktyk.</w:t>
            </w:r>
          </w:p>
          <w:p w:rsidR="00C46B3C" w:rsidRPr="0068461A" w:rsidRDefault="00C46B3C" w:rsidP="00204839">
            <w:pPr>
              <w:spacing w:after="0"/>
              <w:jc w:val="both"/>
              <w:rPr>
                <w:rFonts w:ascii="Times New Roman" w:hAnsi="Times New Roman"/>
                <w:sz w:val="24"/>
                <w:szCs w:val="24"/>
              </w:rPr>
            </w:pPr>
            <w:r w:rsidRPr="0068461A">
              <w:rPr>
                <w:rFonts w:ascii="Times New Roman" w:hAnsi="Times New Roman"/>
                <w:sz w:val="24"/>
                <w:szCs w:val="24"/>
              </w:rPr>
              <w:t>6. Termin i miejsce praktyk wakacyjnych należy uzgodnić najpóźniej do końca sesji letniej w czerwcu.</w:t>
            </w:r>
          </w:p>
          <w:p w:rsidR="00C12E50" w:rsidRPr="0068461A" w:rsidRDefault="00C46B3C" w:rsidP="00C77108">
            <w:pPr>
              <w:spacing w:after="0" w:line="240" w:lineRule="auto"/>
              <w:jc w:val="both"/>
              <w:rPr>
                <w:rFonts w:ascii="Times New Roman" w:hAnsi="Times New Roman"/>
                <w:color w:val="000000"/>
                <w:sz w:val="24"/>
                <w:szCs w:val="24"/>
                <w:highlight w:val="red"/>
              </w:rPr>
            </w:pPr>
            <w:r w:rsidRPr="0068461A">
              <w:rPr>
                <w:rFonts w:ascii="Times New Roman" w:hAnsi="Times New Roman"/>
                <w:sz w:val="24"/>
                <w:szCs w:val="24"/>
              </w:rPr>
              <w:t xml:space="preserve">7. Bez konieczności odbywania praktyki zaliczenie otrzymują osoby, które przepracowały w </w:t>
            </w:r>
            <w:r w:rsidRPr="0068461A">
              <w:rPr>
                <w:rFonts w:ascii="Times New Roman" w:hAnsi="Times New Roman"/>
                <w:color w:val="000000"/>
                <w:sz w:val="24"/>
                <w:szCs w:val="24"/>
              </w:rPr>
              <w:t xml:space="preserve">ośrodku informacji, firmie </w:t>
            </w:r>
            <w:proofErr w:type="spellStart"/>
            <w:r w:rsidRPr="0068461A">
              <w:rPr>
                <w:rFonts w:ascii="Times New Roman" w:hAnsi="Times New Roman"/>
                <w:color w:val="000000"/>
                <w:sz w:val="24"/>
                <w:szCs w:val="24"/>
              </w:rPr>
              <w:t>infobrokerskiej</w:t>
            </w:r>
            <w:proofErr w:type="spellEnd"/>
            <w:r w:rsidRPr="0068461A">
              <w:rPr>
                <w:rFonts w:ascii="Times New Roman" w:hAnsi="Times New Roman"/>
                <w:color w:val="000000"/>
                <w:sz w:val="24"/>
                <w:szCs w:val="24"/>
              </w:rPr>
              <w:t>, bibliotece, archiwum lub w innych jednostkach, w których gromadzi się, przetwarza i udostępnia informację,</w:t>
            </w:r>
            <w:r w:rsidRPr="0068461A">
              <w:rPr>
                <w:rFonts w:ascii="Times New Roman" w:hAnsi="Times New Roman"/>
                <w:sz w:val="24"/>
                <w:szCs w:val="24"/>
              </w:rPr>
              <w:t xml:space="preserve"> na stanowiskach związanych bezpośrednio z realizacją procesów zarządzania informacją, co najmniej 1 miesiąc w pełnym wymiarze czasu pracy lub odpowiednio dłużej w przypadku niepełnego wymiaru czasu pracy w ciągu ostatnich 4 lat</w:t>
            </w:r>
            <w:r w:rsidR="00C77108">
              <w:rPr>
                <w:rFonts w:ascii="Times New Roman" w:hAnsi="Times New Roman"/>
                <w:sz w:val="24"/>
                <w:szCs w:val="24"/>
              </w:rPr>
              <w:t xml:space="preserve"> </w:t>
            </w:r>
            <w:r w:rsidR="00C77108">
              <w:rPr>
                <w:rFonts w:ascii="Times New Roman" w:hAnsi="Times New Roman"/>
                <w:sz w:val="24"/>
                <w:szCs w:val="24"/>
              </w:rPr>
              <w:t>(za pracę rozumie się także zadania wykonywane w ramach wolontariatu).</w:t>
            </w:r>
            <w:bookmarkStart w:id="0" w:name="_GoBack"/>
            <w:bookmarkEnd w:id="0"/>
            <w:r w:rsidRPr="0068461A">
              <w:rPr>
                <w:rFonts w:ascii="Times New Roman" w:hAnsi="Times New Roman"/>
                <w:sz w:val="24"/>
                <w:szCs w:val="24"/>
              </w:rPr>
              <w:t xml:space="preserve"> W tym trybie zaliczenie praktyki uzyskuje się na podstawie stosownych zaświadczeń z zakładu pracy.</w:t>
            </w:r>
          </w:p>
        </w:tc>
      </w:tr>
      <w:tr w:rsidR="0061251D" w:rsidRPr="0068461A" w:rsidTr="00FF222C">
        <w:tc>
          <w:tcPr>
            <w:tcW w:w="2802" w:type="dxa"/>
          </w:tcPr>
          <w:p w:rsidR="0061251D" w:rsidRPr="0068461A" w:rsidRDefault="0061251D" w:rsidP="00C46068">
            <w:pPr>
              <w:pStyle w:val="Default"/>
            </w:pPr>
            <w:r w:rsidRPr="0068461A">
              <w:t xml:space="preserve">Wymogi związane z ukończeniem studiów (praca </w:t>
            </w:r>
            <w:r w:rsidRPr="0068461A">
              <w:lastRenderedPageBreak/>
              <w:t xml:space="preserve">dyplomowa/egzamin dyplomowy/inne) </w:t>
            </w:r>
          </w:p>
          <w:p w:rsidR="0061251D" w:rsidRPr="0068461A" w:rsidRDefault="0061251D" w:rsidP="00FF222C">
            <w:pPr>
              <w:spacing w:after="0" w:line="240" w:lineRule="auto"/>
              <w:rPr>
                <w:rFonts w:ascii="Times New Roman" w:hAnsi="Times New Roman"/>
                <w:color w:val="000000"/>
                <w:sz w:val="24"/>
                <w:szCs w:val="24"/>
              </w:rPr>
            </w:pPr>
          </w:p>
        </w:tc>
        <w:tc>
          <w:tcPr>
            <w:tcW w:w="6410" w:type="dxa"/>
          </w:tcPr>
          <w:p w:rsidR="0061251D" w:rsidRPr="0068461A" w:rsidRDefault="0061251D" w:rsidP="00FF222C">
            <w:pPr>
              <w:spacing w:after="0" w:line="240" w:lineRule="auto"/>
              <w:rPr>
                <w:rFonts w:ascii="Times New Roman" w:hAnsi="Times New Roman"/>
                <w:sz w:val="24"/>
                <w:szCs w:val="24"/>
              </w:rPr>
            </w:pPr>
            <w:r w:rsidRPr="0068461A">
              <w:rPr>
                <w:rFonts w:ascii="Times New Roman" w:hAnsi="Times New Roman"/>
                <w:sz w:val="24"/>
                <w:szCs w:val="24"/>
              </w:rPr>
              <w:lastRenderedPageBreak/>
              <w:t xml:space="preserve">Warunkiem ukończenia studiów jest zrealizowanie planu  studiów oraz przygotowanie i złożenie pracy dyplomowej (licencjackiej) połączone ze zdaniem egzaminu dyplomowego w terminach przewidzianych w </w:t>
            </w:r>
            <w:r w:rsidRPr="0068461A">
              <w:rPr>
                <w:rFonts w:ascii="Times New Roman" w:hAnsi="Times New Roman"/>
                <w:sz w:val="24"/>
                <w:szCs w:val="24"/>
              </w:rPr>
              <w:lastRenderedPageBreak/>
              <w:t>Regulaminie Studiów UJ.</w:t>
            </w:r>
          </w:p>
          <w:p w:rsidR="0061251D" w:rsidRPr="0068461A" w:rsidRDefault="0061251D" w:rsidP="00FF222C">
            <w:pPr>
              <w:spacing w:after="0" w:line="240" w:lineRule="auto"/>
              <w:rPr>
                <w:rFonts w:ascii="Times New Roman" w:hAnsi="Times New Roman"/>
                <w:color w:val="000000"/>
                <w:sz w:val="24"/>
                <w:szCs w:val="24"/>
              </w:rPr>
            </w:pPr>
          </w:p>
        </w:tc>
      </w:tr>
      <w:tr w:rsidR="0061251D" w:rsidRPr="0068461A" w:rsidTr="00FF222C">
        <w:tc>
          <w:tcPr>
            <w:tcW w:w="2802" w:type="dxa"/>
          </w:tcPr>
          <w:p w:rsidR="0061251D" w:rsidRPr="0068461A" w:rsidRDefault="0061251D" w:rsidP="00C46068">
            <w:pPr>
              <w:pStyle w:val="Default"/>
            </w:pPr>
            <w:r w:rsidRPr="0068461A">
              <w:lastRenderedPageBreak/>
              <w:t xml:space="preserve">Inne dokumenty </w:t>
            </w:r>
          </w:p>
          <w:p w:rsidR="0061251D" w:rsidRPr="0068461A" w:rsidRDefault="0061251D" w:rsidP="00C46068">
            <w:pPr>
              <w:pStyle w:val="Default"/>
            </w:pPr>
          </w:p>
        </w:tc>
        <w:tc>
          <w:tcPr>
            <w:tcW w:w="6410" w:type="dxa"/>
          </w:tcPr>
          <w:p w:rsidR="0061251D" w:rsidRPr="0068461A" w:rsidRDefault="00E101CD" w:rsidP="00C46068">
            <w:pPr>
              <w:pStyle w:val="Default"/>
              <w:rPr>
                <w:iCs/>
              </w:rPr>
            </w:pPr>
            <w:r w:rsidRPr="0068461A">
              <w:rPr>
                <w:iCs/>
              </w:rPr>
              <w:t>W załączeniu (załączniki od nr 6a do 6</w:t>
            </w:r>
            <w:r w:rsidR="0061251D" w:rsidRPr="0068461A">
              <w:rPr>
                <w:iCs/>
              </w:rPr>
              <w:t>d)</w:t>
            </w:r>
          </w:p>
          <w:p w:rsidR="0061251D" w:rsidRPr="0068461A" w:rsidRDefault="0061251D" w:rsidP="00C46068">
            <w:pPr>
              <w:pStyle w:val="Default"/>
              <w:rPr>
                <w:iCs/>
              </w:rPr>
            </w:pPr>
          </w:p>
          <w:p w:rsidR="0061251D" w:rsidRPr="0068461A" w:rsidRDefault="0061251D" w:rsidP="00C46068">
            <w:pPr>
              <w:pStyle w:val="Default"/>
              <w:rPr>
                <w:i/>
                <w:iCs/>
              </w:rPr>
            </w:pPr>
            <w:r w:rsidRPr="0068461A">
              <w:rPr>
                <w:i/>
                <w:iCs/>
              </w:rPr>
              <w:t xml:space="preserve">a. sposób wykorzystania wzorców międzynarodowych, </w:t>
            </w:r>
          </w:p>
          <w:p w:rsidR="0061251D" w:rsidRPr="0068461A" w:rsidRDefault="0061251D" w:rsidP="00C46068">
            <w:pPr>
              <w:pStyle w:val="Default"/>
            </w:pPr>
            <w:r w:rsidRPr="0068461A">
              <w:rPr>
                <w:i/>
                <w:iCs/>
              </w:rPr>
              <w:t xml:space="preserve">b. udokumentowanie (dla studiów stacjonarnych), że co najmniej połowa programu kształcenia jest realizowana w postaci zajęć dydaktycznych wymagających bezpośredniego udziału nauczycieli akademickich, </w:t>
            </w:r>
          </w:p>
          <w:p w:rsidR="0061251D" w:rsidRPr="0068461A" w:rsidRDefault="0061251D" w:rsidP="00C46068">
            <w:pPr>
              <w:pStyle w:val="Default"/>
            </w:pPr>
            <w:r w:rsidRPr="0068461A">
              <w:rPr>
                <w:i/>
                <w:iCs/>
              </w:rPr>
              <w:t xml:space="preserve">c. udokumentowanie, że program studiów umożliwia studentowi wybór modułów kształcenia w wymiarze nie mniejszym niż 30% punktów ECTS, </w:t>
            </w:r>
          </w:p>
          <w:p w:rsidR="0061251D" w:rsidRPr="0068461A" w:rsidRDefault="0061251D" w:rsidP="00545B5A">
            <w:pPr>
              <w:pStyle w:val="Default"/>
            </w:pPr>
            <w:r w:rsidRPr="0068461A">
              <w:rPr>
                <w:i/>
                <w:iCs/>
              </w:rPr>
              <w:t xml:space="preserve">d. sposób współdziałania z interesariuszami zewnętrznymi (np. lista osób spoza wydziału biorących udział w pracach programowych lub konsultujących projekt programu kształcenia, które przekazały opinie na temat zaproponowanego opisu efektów kształcenia) </w:t>
            </w:r>
          </w:p>
        </w:tc>
      </w:tr>
      <w:tr w:rsidR="0061251D" w:rsidRPr="0068461A" w:rsidTr="00FF222C">
        <w:tc>
          <w:tcPr>
            <w:tcW w:w="2802" w:type="dxa"/>
          </w:tcPr>
          <w:p w:rsidR="0061251D" w:rsidRPr="0068461A" w:rsidRDefault="0061251D" w:rsidP="00C46068">
            <w:pPr>
              <w:pStyle w:val="Default"/>
            </w:pPr>
            <w:r w:rsidRPr="0068461A">
              <w:t xml:space="preserve">Matryca efektów kształcenia dla programu kształcenia na określonym poziomie i profilu kształcenia </w:t>
            </w:r>
          </w:p>
          <w:p w:rsidR="0061251D" w:rsidRPr="0068461A" w:rsidRDefault="0061251D" w:rsidP="00FF222C">
            <w:pPr>
              <w:spacing w:after="0" w:line="240" w:lineRule="auto"/>
              <w:rPr>
                <w:rFonts w:ascii="Times New Roman" w:hAnsi="Times New Roman"/>
                <w:color w:val="000000"/>
                <w:sz w:val="24"/>
                <w:szCs w:val="24"/>
              </w:rPr>
            </w:pPr>
          </w:p>
        </w:tc>
        <w:tc>
          <w:tcPr>
            <w:tcW w:w="6410" w:type="dxa"/>
          </w:tcPr>
          <w:p w:rsidR="0061251D" w:rsidRPr="0068461A" w:rsidRDefault="00D27A4D" w:rsidP="00C46068">
            <w:pPr>
              <w:pStyle w:val="Default"/>
            </w:pPr>
            <w:r w:rsidRPr="0068461A">
              <w:rPr>
                <w:iCs/>
              </w:rPr>
              <w:t>W załączeniu(załącznik nr 7</w:t>
            </w:r>
            <w:r w:rsidR="0061251D" w:rsidRPr="0068461A">
              <w:rPr>
                <w:iCs/>
              </w:rPr>
              <w:t>)</w:t>
            </w:r>
          </w:p>
          <w:p w:rsidR="0061251D" w:rsidRPr="0068461A" w:rsidRDefault="0061251D" w:rsidP="00FF222C">
            <w:pPr>
              <w:autoSpaceDE w:val="0"/>
              <w:autoSpaceDN w:val="0"/>
              <w:adjustRightInd w:val="0"/>
              <w:spacing w:after="0" w:line="240" w:lineRule="auto"/>
              <w:rPr>
                <w:rFonts w:ascii="Times New Roman" w:hAnsi="Times New Roman"/>
                <w:color w:val="000000"/>
                <w:sz w:val="24"/>
                <w:szCs w:val="24"/>
              </w:rPr>
            </w:pPr>
          </w:p>
        </w:tc>
      </w:tr>
    </w:tbl>
    <w:p w:rsidR="0061251D" w:rsidRPr="0068461A" w:rsidRDefault="0061251D" w:rsidP="00FD3CC1">
      <w:pPr>
        <w:rPr>
          <w:rFonts w:ascii="Times New Roman" w:hAnsi="Times New Roman"/>
          <w:sz w:val="24"/>
          <w:szCs w:val="24"/>
        </w:rPr>
      </w:pPr>
    </w:p>
    <w:sectPr w:rsidR="0061251D" w:rsidRPr="0068461A" w:rsidSect="00606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0E8"/>
    <w:multiLevelType w:val="hybridMultilevel"/>
    <w:tmpl w:val="ECE0D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3477D4"/>
    <w:multiLevelType w:val="hybridMultilevel"/>
    <w:tmpl w:val="96F6C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586CD8"/>
    <w:multiLevelType w:val="hybridMultilevel"/>
    <w:tmpl w:val="DB306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5B58DE"/>
    <w:multiLevelType w:val="hybridMultilevel"/>
    <w:tmpl w:val="F61C4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DE0F50"/>
    <w:multiLevelType w:val="hybridMultilevel"/>
    <w:tmpl w:val="5C464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B41072"/>
    <w:multiLevelType w:val="multilevel"/>
    <w:tmpl w:val="0DE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F3908"/>
    <w:multiLevelType w:val="hybridMultilevel"/>
    <w:tmpl w:val="679AF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184"/>
    <w:rsid w:val="00016E3A"/>
    <w:rsid w:val="000256B5"/>
    <w:rsid w:val="00030257"/>
    <w:rsid w:val="00034003"/>
    <w:rsid w:val="00053546"/>
    <w:rsid w:val="00054C34"/>
    <w:rsid w:val="00086368"/>
    <w:rsid w:val="0009653A"/>
    <w:rsid w:val="000A59E9"/>
    <w:rsid w:val="000A651B"/>
    <w:rsid w:val="000C7FF1"/>
    <w:rsid w:val="000D23B6"/>
    <w:rsid w:val="0011074C"/>
    <w:rsid w:val="00190F5C"/>
    <w:rsid w:val="001D3C06"/>
    <w:rsid w:val="001F3CE3"/>
    <w:rsid w:val="00204839"/>
    <w:rsid w:val="00212991"/>
    <w:rsid w:val="00217CC6"/>
    <w:rsid w:val="002662F8"/>
    <w:rsid w:val="00291F27"/>
    <w:rsid w:val="002A2740"/>
    <w:rsid w:val="002C6123"/>
    <w:rsid w:val="00300C70"/>
    <w:rsid w:val="003444B8"/>
    <w:rsid w:val="003456AE"/>
    <w:rsid w:val="00346428"/>
    <w:rsid w:val="00361101"/>
    <w:rsid w:val="00366B3A"/>
    <w:rsid w:val="00372C4A"/>
    <w:rsid w:val="00380136"/>
    <w:rsid w:val="003F7C6D"/>
    <w:rsid w:val="0040728A"/>
    <w:rsid w:val="0041628C"/>
    <w:rsid w:val="004362D8"/>
    <w:rsid w:val="00441279"/>
    <w:rsid w:val="0045239A"/>
    <w:rsid w:val="00464C06"/>
    <w:rsid w:val="00471BDC"/>
    <w:rsid w:val="00496D4A"/>
    <w:rsid w:val="004F2A23"/>
    <w:rsid w:val="00504337"/>
    <w:rsid w:val="005162E5"/>
    <w:rsid w:val="00545B5A"/>
    <w:rsid w:val="0057200A"/>
    <w:rsid w:val="00584ED8"/>
    <w:rsid w:val="00595C40"/>
    <w:rsid w:val="005A59B5"/>
    <w:rsid w:val="005C723A"/>
    <w:rsid w:val="00602AFA"/>
    <w:rsid w:val="00606858"/>
    <w:rsid w:val="0061251D"/>
    <w:rsid w:val="00622408"/>
    <w:rsid w:val="00626EE8"/>
    <w:rsid w:val="00640F19"/>
    <w:rsid w:val="00642900"/>
    <w:rsid w:val="0065157C"/>
    <w:rsid w:val="0068461A"/>
    <w:rsid w:val="006C25F2"/>
    <w:rsid w:val="00712126"/>
    <w:rsid w:val="00724DFB"/>
    <w:rsid w:val="0073160D"/>
    <w:rsid w:val="0073552B"/>
    <w:rsid w:val="00737ED5"/>
    <w:rsid w:val="00740102"/>
    <w:rsid w:val="00754241"/>
    <w:rsid w:val="00785226"/>
    <w:rsid w:val="007C3958"/>
    <w:rsid w:val="007D0791"/>
    <w:rsid w:val="007D1C21"/>
    <w:rsid w:val="007E23C7"/>
    <w:rsid w:val="008308EC"/>
    <w:rsid w:val="00861DFA"/>
    <w:rsid w:val="008B00E9"/>
    <w:rsid w:val="008C0DAA"/>
    <w:rsid w:val="008D357C"/>
    <w:rsid w:val="008F246C"/>
    <w:rsid w:val="008F7BAC"/>
    <w:rsid w:val="00915204"/>
    <w:rsid w:val="00916DD9"/>
    <w:rsid w:val="00975E84"/>
    <w:rsid w:val="009C1CFA"/>
    <w:rsid w:val="009D0E6C"/>
    <w:rsid w:val="00A06C5A"/>
    <w:rsid w:val="00A53B0C"/>
    <w:rsid w:val="00A55381"/>
    <w:rsid w:val="00A56DA7"/>
    <w:rsid w:val="00A57616"/>
    <w:rsid w:val="00A603AF"/>
    <w:rsid w:val="00A62A9B"/>
    <w:rsid w:val="00A71A68"/>
    <w:rsid w:val="00A85CD7"/>
    <w:rsid w:val="00A90A78"/>
    <w:rsid w:val="00AA01C6"/>
    <w:rsid w:val="00AA723E"/>
    <w:rsid w:val="00AB6381"/>
    <w:rsid w:val="00AC406C"/>
    <w:rsid w:val="00AE1873"/>
    <w:rsid w:val="00AE5A91"/>
    <w:rsid w:val="00B071E3"/>
    <w:rsid w:val="00B23D48"/>
    <w:rsid w:val="00B36DEC"/>
    <w:rsid w:val="00B44712"/>
    <w:rsid w:val="00B46B0A"/>
    <w:rsid w:val="00B7273F"/>
    <w:rsid w:val="00BA11BA"/>
    <w:rsid w:val="00BB6D58"/>
    <w:rsid w:val="00BC044A"/>
    <w:rsid w:val="00C12414"/>
    <w:rsid w:val="00C12E50"/>
    <w:rsid w:val="00C16DE3"/>
    <w:rsid w:val="00C21EB1"/>
    <w:rsid w:val="00C44184"/>
    <w:rsid w:val="00C46068"/>
    <w:rsid w:val="00C46B3C"/>
    <w:rsid w:val="00C62EB7"/>
    <w:rsid w:val="00C77108"/>
    <w:rsid w:val="00C87C9D"/>
    <w:rsid w:val="00CB78F6"/>
    <w:rsid w:val="00CE6E32"/>
    <w:rsid w:val="00CE7F84"/>
    <w:rsid w:val="00D14154"/>
    <w:rsid w:val="00D27A4D"/>
    <w:rsid w:val="00D27F57"/>
    <w:rsid w:val="00D34004"/>
    <w:rsid w:val="00D53CBE"/>
    <w:rsid w:val="00D70C09"/>
    <w:rsid w:val="00D71814"/>
    <w:rsid w:val="00D737AB"/>
    <w:rsid w:val="00DB12AF"/>
    <w:rsid w:val="00DB1C80"/>
    <w:rsid w:val="00DE2357"/>
    <w:rsid w:val="00DF2F0B"/>
    <w:rsid w:val="00E101CD"/>
    <w:rsid w:val="00E13591"/>
    <w:rsid w:val="00E15EDA"/>
    <w:rsid w:val="00E26432"/>
    <w:rsid w:val="00E50B48"/>
    <w:rsid w:val="00E511FA"/>
    <w:rsid w:val="00E62056"/>
    <w:rsid w:val="00E65764"/>
    <w:rsid w:val="00E951BB"/>
    <w:rsid w:val="00EA6BBD"/>
    <w:rsid w:val="00ED7FD7"/>
    <w:rsid w:val="00EE47DD"/>
    <w:rsid w:val="00EE772C"/>
    <w:rsid w:val="00EF3165"/>
    <w:rsid w:val="00F13032"/>
    <w:rsid w:val="00F14E79"/>
    <w:rsid w:val="00F51D08"/>
    <w:rsid w:val="00F54BBC"/>
    <w:rsid w:val="00F760E9"/>
    <w:rsid w:val="00F83310"/>
    <w:rsid w:val="00FC3696"/>
    <w:rsid w:val="00FD3CC1"/>
    <w:rsid w:val="00FE3BBE"/>
    <w:rsid w:val="00FF222C"/>
    <w:rsid w:val="00FF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8DE729-B99C-4FD9-AA93-256E778D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85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44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D08"/>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3444B8"/>
    <w:pPr>
      <w:ind w:left="720"/>
      <w:contextualSpacing/>
    </w:pPr>
  </w:style>
  <w:style w:type="character" w:styleId="Uwydatnienie">
    <w:name w:val="Emphasis"/>
    <w:uiPriority w:val="99"/>
    <w:qFormat/>
    <w:rsid w:val="00054C34"/>
    <w:rPr>
      <w:rFonts w:cs="Times New Roman"/>
      <w:i/>
      <w:iCs/>
    </w:rPr>
  </w:style>
  <w:style w:type="character" w:styleId="Pogrubienie">
    <w:name w:val="Strong"/>
    <w:uiPriority w:val="99"/>
    <w:qFormat/>
    <w:rsid w:val="00A57616"/>
    <w:rPr>
      <w:rFonts w:cs="Times New Roman"/>
      <w:b/>
      <w:bCs/>
    </w:rPr>
  </w:style>
  <w:style w:type="character" w:styleId="Odwoaniedokomentarza">
    <w:name w:val="annotation reference"/>
    <w:uiPriority w:val="99"/>
    <w:semiHidden/>
    <w:unhideWhenUsed/>
    <w:rsid w:val="00FC3696"/>
    <w:rPr>
      <w:sz w:val="16"/>
      <w:szCs w:val="16"/>
    </w:rPr>
  </w:style>
  <w:style w:type="paragraph" w:styleId="Tekstkomentarza">
    <w:name w:val="annotation text"/>
    <w:basedOn w:val="Normalny"/>
    <w:link w:val="TekstkomentarzaZnak"/>
    <w:uiPriority w:val="99"/>
    <w:semiHidden/>
    <w:unhideWhenUsed/>
    <w:rsid w:val="00FC3696"/>
    <w:rPr>
      <w:sz w:val="20"/>
      <w:szCs w:val="20"/>
    </w:rPr>
  </w:style>
  <w:style w:type="character" w:customStyle="1" w:styleId="TekstkomentarzaZnak">
    <w:name w:val="Tekst komentarza Znak"/>
    <w:link w:val="Tekstkomentarza"/>
    <w:uiPriority w:val="99"/>
    <w:semiHidden/>
    <w:rsid w:val="00FC369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FC3696"/>
    <w:rPr>
      <w:b/>
      <w:bCs/>
    </w:rPr>
  </w:style>
  <w:style w:type="character" w:customStyle="1" w:styleId="TematkomentarzaZnak">
    <w:name w:val="Temat komentarza Znak"/>
    <w:link w:val="Tematkomentarza"/>
    <w:uiPriority w:val="99"/>
    <w:semiHidden/>
    <w:rsid w:val="00FC3696"/>
    <w:rPr>
      <w:b/>
      <w:bCs/>
      <w:sz w:val="20"/>
      <w:szCs w:val="20"/>
      <w:lang w:eastAsia="en-US"/>
    </w:rPr>
  </w:style>
  <w:style w:type="paragraph" w:styleId="Tekstdymka">
    <w:name w:val="Balloon Text"/>
    <w:basedOn w:val="Normalny"/>
    <w:link w:val="TekstdymkaZnak"/>
    <w:uiPriority w:val="99"/>
    <w:semiHidden/>
    <w:unhideWhenUsed/>
    <w:rsid w:val="00FC369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C3696"/>
    <w:rPr>
      <w:rFonts w:ascii="Tahoma" w:hAnsi="Tahoma" w:cs="Tahoma"/>
      <w:sz w:val="16"/>
      <w:szCs w:val="16"/>
      <w:lang w:eastAsia="en-US"/>
    </w:rPr>
  </w:style>
  <w:style w:type="character" w:styleId="Hipercze">
    <w:name w:val="Hyperlink"/>
    <w:uiPriority w:val="99"/>
    <w:unhideWhenUsed/>
    <w:rsid w:val="00B23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2192</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29</cp:revision>
  <dcterms:created xsi:type="dcterms:W3CDTF">2013-12-06T06:00:00Z</dcterms:created>
  <dcterms:modified xsi:type="dcterms:W3CDTF">2013-12-15T14:02:00Z</dcterms:modified>
</cp:coreProperties>
</file>